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charts/chart6.xml" ContentType="application/vnd.openxmlformats-officedocument.drawingml.chart+xml"/>
  <Override PartName="/word/theme/themeOverride5.xml" ContentType="application/vnd.openxmlformats-officedocument.themeOverride+xml"/>
  <Override PartName="/word/theme/theme1.xml" ContentType="application/vnd.openxmlformats-officedocument.theme+xml"/>
  <Override PartName="/word/charts/chart5.xml" ContentType="application/vnd.openxmlformats-officedocument.drawingml.chart+xml"/>
  <Override PartName="/word/theme/themeOverride1.xml" ContentType="application/vnd.openxmlformats-officedocument.themeOverride+xml"/>
  <Override PartName="/word/charts/chart1.xml" ContentType="application/vnd.openxmlformats-officedocument.drawingml.chart+xml"/>
  <Override PartName="/word/charts/chart2.xml" ContentType="application/vnd.openxmlformats-officedocument.drawingml.chart+xml"/>
  <Override PartName="/word/theme/themeOverride4.xml" ContentType="application/vnd.openxmlformats-officedocument.themeOverride+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3.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FD0" w:rsidRDefault="00491FD0" w:rsidP="00491FD0">
      <w:pPr>
        <w:spacing w:line="360" w:lineRule="auto"/>
        <w:ind w:firstLine="539"/>
        <w:jc w:val="center"/>
        <w:rPr>
          <w:b/>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rsidR="00491FD0" w:rsidRDefault="00491FD0" w:rsidP="00491FD0">
      <w:pPr>
        <w:spacing w:line="360" w:lineRule="auto"/>
        <w:ind w:firstLine="539"/>
        <w:jc w:val="center"/>
        <w:rPr>
          <w:b/>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rsidR="00491FD0" w:rsidRDefault="00491FD0" w:rsidP="00491FD0">
      <w:pPr>
        <w:spacing w:line="360" w:lineRule="auto"/>
        <w:ind w:firstLine="539"/>
        <w:jc w:val="center"/>
        <w:rPr>
          <w:b/>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rsidR="00491FD0" w:rsidRPr="007500C3" w:rsidRDefault="00491FD0" w:rsidP="00491FD0">
      <w:pPr>
        <w:spacing w:line="360" w:lineRule="auto"/>
        <w:ind w:firstLine="539"/>
        <w:jc w:val="cente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72D2D" w:rsidRPr="007500C3" w:rsidRDefault="00491FD0" w:rsidP="00491FD0">
      <w:pPr>
        <w:spacing w:line="360" w:lineRule="auto"/>
        <w:ind w:firstLine="539"/>
        <w:jc w:val="center"/>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500C3">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RAPO</w:t>
      </w:r>
      <w:bookmarkStart w:id="0" w:name="_GoBack"/>
      <w:bookmarkEnd w:id="0"/>
      <w:r w:rsidRPr="007500C3">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RT</w:t>
      </w:r>
    </w:p>
    <w:p w:rsidR="00491FD0" w:rsidRPr="007500C3" w:rsidRDefault="00491FD0" w:rsidP="00491FD0">
      <w:pPr>
        <w:spacing w:line="360" w:lineRule="auto"/>
        <w:ind w:firstLine="539"/>
        <w:jc w:val="center"/>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500C3">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DE ACTIVITATE</w:t>
      </w:r>
    </w:p>
    <w:p w:rsidR="00491FD0" w:rsidRPr="007500C3" w:rsidRDefault="00491FD0" w:rsidP="00491FD0">
      <w:pPr>
        <w:spacing w:line="360" w:lineRule="auto"/>
        <w:ind w:firstLine="539"/>
        <w:jc w:val="center"/>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500C3">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JUDECĂTORIA VÂNJU MARE</w:t>
      </w:r>
    </w:p>
    <w:p w:rsidR="00491FD0" w:rsidRPr="007500C3" w:rsidRDefault="00491FD0" w:rsidP="00491FD0">
      <w:pPr>
        <w:spacing w:line="360" w:lineRule="auto"/>
        <w:ind w:firstLine="539"/>
        <w:jc w:val="center"/>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500C3">
        <w:rPr>
          <w:b/>
          <w:caps/>
          <w:color w:val="EEECE1" w:themeColor="background2"/>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2017</w:t>
      </w:r>
    </w:p>
    <w:p w:rsidR="006370DD" w:rsidRPr="00D25B0F" w:rsidRDefault="006370DD" w:rsidP="00972D2D">
      <w:pPr>
        <w:spacing w:line="360" w:lineRule="auto"/>
        <w:ind w:firstLine="539"/>
        <w:jc w:val="both"/>
        <w:rPr>
          <w:b/>
          <w:color w:val="EEECE1" w:themeColor="background2"/>
          <w:sz w:val="56"/>
          <w:szCs w:val="56"/>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14:textFill>
            <w14:solidFill>
              <w14:schemeClr w14:val="bg2">
                <w14:tint w14:val="85000"/>
                <w14:satMod w14:val="155000"/>
              </w14:schemeClr>
            </w14:solidFill>
          </w14:textFill>
        </w:rPr>
      </w:pPr>
    </w:p>
    <w:p w:rsidR="006370DD" w:rsidRDefault="006370DD" w:rsidP="00972D2D">
      <w:pPr>
        <w:spacing w:line="360" w:lineRule="auto"/>
        <w:ind w:firstLine="539"/>
        <w:jc w:val="both"/>
      </w:pPr>
    </w:p>
    <w:p w:rsidR="006370DD" w:rsidRPr="006370DD" w:rsidRDefault="006370DD" w:rsidP="006370DD">
      <w:pPr>
        <w:spacing w:line="360" w:lineRule="auto"/>
        <w:ind w:firstLine="539"/>
        <w:jc w:val="center"/>
        <w:rPr>
          <w:rFonts w:ascii="Arial" w:hAnsi="Arial" w:cs="Arial"/>
        </w:rPr>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6370DD" w:rsidRDefault="006370DD" w:rsidP="00972D2D">
      <w:pPr>
        <w:spacing w:line="360" w:lineRule="auto"/>
        <w:ind w:firstLine="539"/>
        <w:jc w:val="both"/>
      </w:pPr>
    </w:p>
    <w:p w:rsidR="00972D2D" w:rsidRPr="002322FB" w:rsidRDefault="00972D2D" w:rsidP="00972D2D">
      <w:pPr>
        <w:spacing w:line="360" w:lineRule="auto"/>
        <w:ind w:firstLine="539"/>
        <w:jc w:val="both"/>
      </w:pPr>
      <w:r w:rsidRPr="002322FB">
        <w:t xml:space="preserve">Judecătoria </w:t>
      </w:r>
      <w:r>
        <w:t>Vânju Mare</w:t>
      </w:r>
      <w:r w:rsidRPr="002322FB">
        <w:t xml:space="preserve">, la fel ca şi celelalte instanţe judecătoreşti din ţară, este organizată şi funcţionează potrivit dispoziţiilor Legii nr. 304/2004 privind organizarea judiciară, republicată, şi ale Regulamentului de ordine interioară al instanţelor judecătoreşti. </w:t>
      </w:r>
    </w:p>
    <w:p w:rsidR="00972D2D" w:rsidRPr="00A80B7C" w:rsidRDefault="00972D2D" w:rsidP="00972D2D">
      <w:pPr>
        <w:spacing w:line="360" w:lineRule="auto"/>
        <w:ind w:firstLine="708"/>
        <w:jc w:val="both"/>
      </w:pPr>
      <w:r w:rsidRPr="002322FB">
        <w:t xml:space="preserve">Judecătoria </w:t>
      </w:r>
      <w:r>
        <w:t>Vânju Mare</w:t>
      </w:r>
      <w:r w:rsidRPr="002322FB">
        <w:t xml:space="preserve"> este instituţie fără personalitate juridică, situată </w:t>
      </w:r>
      <w:r w:rsidRPr="00A80B7C">
        <w:t xml:space="preserve">orașul </w:t>
      </w:r>
      <w:proofErr w:type="spellStart"/>
      <w:r w:rsidRPr="00A80B7C">
        <w:t>Vînju</w:t>
      </w:r>
      <w:proofErr w:type="spellEnd"/>
      <w:r w:rsidRPr="00A80B7C">
        <w:t xml:space="preserve"> Mare, strada Viilor, nr. 5, județul Mehedinți. Instanța a fost înființată în anul 1995 și își desfășoară activitate într-o clădire care a fost renovată și modernizată în anul 2012.</w:t>
      </w:r>
    </w:p>
    <w:p w:rsidR="00972D2D" w:rsidRPr="002322FB" w:rsidRDefault="00972D2D" w:rsidP="00972D2D">
      <w:pPr>
        <w:spacing w:line="360" w:lineRule="auto"/>
        <w:ind w:firstLine="708"/>
        <w:jc w:val="both"/>
      </w:pPr>
      <w:r w:rsidRPr="002322FB">
        <w:t xml:space="preserve">Judecătoria </w:t>
      </w:r>
      <w:r>
        <w:t>Vânju Mare</w:t>
      </w:r>
      <w:r w:rsidRPr="002322FB">
        <w:t xml:space="preserve"> funcţionează alături de judecătoriile </w:t>
      </w:r>
      <w:r>
        <w:t>Drobeta Turnu Severin</w:t>
      </w:r>
      <w:r w:rsidRPr="002322FB">
        <w:t xml:space="preserve">, </w:t>
      </w:r>
      <w:r>
        <w:t>Baia de Aramă</w:t>
      </w:r>
      <w:r w:rsidRPr="002322FB">
        <w:t xml:space="preserve">, </w:t>
      </w:r>
      <w:r>
        <w:t xml:space="preserve">Orșova </w:t>
      </w:r>
      <w:r w:rsidRPr="002322FB">
        <w:t xml:space="preserve"> şi </w:t>
      </w:r>
      <w:r>
        <w:t>Strehaia</w:t>
      </w:r>
      <w:r w:rsidRPr="002322FB">
        <w:t xml:space="preserve"> în circumscripţia Tribunalului </w:t>
      </w:r>
      <w:r>
        <w:t>Mehedinți</w:t>
      </w:r>
      <w:r w:rsidRPr="002322FB">
        <w:t xml:space="preserve">, iar împreună cu acesta, se află în circumscripţia Curţii de Apel Craiova. </w:t>
      </w:r>
    </w:p>
    <w:p w:rsidR="00972D2D" w:rsidRDefault="00972D2D" w:rsidP="00972D2D">
      <w:pPr>
        <w:spacing w:line="360" w:lineRule="auto"/>
        <w:ind w:firstLine="701"/>
        <w:jc w:val="both"/>
      </w:pPr>
      <w:r w:rsidRPr="00A80B7C">
        <w:t>Competența teritorială a Judecătoriei Vânju Mare se extinde asupra</w:t>
      </w:r>
      <w:r>
        <w:t xml:space="preserve"> </w:t>
      </w:r>
      <w:r w:rsidRPr="00A80B7C">
        <w:t xml:space="preserve">orașului Vânju Mare și a localităților aparținătoare : Bălăciţa, Braniştea, Corlăţel, Cujmir, </w:t>
      </w:r>
      <w:proofErr w:type="spellStart"/>
      <w:r w:rsidRPr="00A80B7C">
        <w:t>Dîrvari</w:t>
      </w:r>
      <w:proofErr w:type="spellEnd"/>
      <w:r w:rsidRPr="00A80B7C">
        <w:t xml:space="preserve">, </w:t>
      </w:r>
      <w:proofErr w:type="spellStart"/>
      <w:r w:rsidRPr="00A80B7C">
        <w:t>Gîrla</w:t>
      </w:r>
      <w:proofErr w:type="spellEnd"/>
      <w:r w:rsidRPr="00A80B7C">
        <w:t xml:space="preserve"> Mare, Gruia, Jiana, Livezile, </w:t>
      </w:r>
      <w:proofErr w:type="spellStart"/>
      <w:r w:rsidRPr="00A80B7C">
        <w:t>Obîrşia</w:t>
      </w:r>
      <w:proofErr w:type="spellEnd"/>
      <w:r w:rsidRPr="00A80B7C">
        <w:t xml:space="preserve"> de </w:t>
      </w:r>
      <w:proofErr w:type="spellStart"/>
      <w:r w:rsidRPr="00A80B7C">
        <w:t>Cîmp</w:t>
      </w:r>
      <w:proofErr w:type="spellEnd"/>
      <w:r w:rsidRPr="00A80B7C">
        <w:t xml:space="preserve">, Oprişor, Pădina, Pătulele, Poroina Mare, Pristol, Punghina, Rogova, Salcia, </w:t>
      </w:r>
      <w:proofErr w:type="spellStart"/>
      <w:r w:rsidRPr="00A80B7C">
        <w:t>Vînători</w:t>
      </w:r>
      <w:proofErr w:type="spellEnd"/>
      <w:r w:rsidRPr="00A80B7C">
        <w:t xml:space="preserve">, </w:t>
      </w:r>
      <w:proofErr w:type="spellStart"/>
      <w:r w:rsidRPr="00A80B7C">
        <w:t>Vînjuleţ</w:t>
      </w:r>
      <w:proofErr w:type="spellEnd"/>
      <w:r w:rsidRPr="00A80B7C">
        <w:t>, Vlădaia, Vrata</w:t>
      </w:r>
      <w:r>
        <w:t>.</w:t>
      </w:r>
    </w:p>
    <w:p w:rsidR="00972D2D" w:rsidRPr="008F5CE4" w:rsidRDefault="00972D2D" w:rsidP="00972D2D">
      <w:pPr>
        <w:spacing w:line="360" w:lineRule="auto"/>
        <w:ind w:firstLine="701"/>
        <w:jc w:val="both"/>
      </w:pPr>
      <w:r w:rsidRPr="008F5CE4">
        <w:t xml:space="preserve">Activitatea Judecătoriei </w:t>
      </w:r>
      <w:r>
        <w:t xml:space="preserve">Vânju Mare </w:t>
      </w:r>
      <w:r w:rsidRPr="008F5CE4">
        <w:t xml:space="preserve">se desfăşoară în conformitate cu dispoziţiile Regulamentului de ordine interioară a instanţelor judecătoreşti aprobat prin </w:t>
      </w:r>
      <w:proofErr w:type="spellStart"/>
      <w:r w:rsidRPr="008F5CE4">
        <w:t>Hotarârea</w:t>
      </w:r>
      <w:proofErr w:type="spellEnd"/>
      <w:r w:rsidRPr="008F5CE4">
        <w:t xml:space="preserve"> nr. 1375/2015 a Consiliului Superior al Magistraturii. </w:t>
      </w:r>
    </w:p>
    <w:p w:rsidR="001A1936" w:rsidRDefault="001A1936" w:rsidP="00CB1655">
      <w:pPr>
        <w:ind w:firstLine="708"/>
        <w:rPr>
          <w:b/>
        </w:rPr>
      </w:pPr>
    </w:p>
    <w:p w:rsidR="00F549CA" w:rsidRDefault="00F549CA" w:rsidP="004C6762"/>
    <w:p w:rsidR="004C6762" w:rsidRPr="00CB1655" w:rsidRDefault="004C6762" w:rsidP="004C6762">
      <w:pPr>
        <w:rPr>
          <w:b/>
        </w:rPr>
      </w:pPr>
      <w:r w:rsidRPr="00CB1655">
        <w:rPr>
          <w:b/>
        </w:rPr>
        <w:t>I. DATE STATISTICE PRIVIND ACTIVITATEA INSTANŢEI JUDECĂTOREŞTI</w:t>
      </w:r>
    </w:p>
    <w:p w:rsidR="004C6762" w:rsidRDefault="004C6762" w:rsidP="004C6762"/>
    <w:p w:rsidR="004C6762" w:rsidRPr="00DE5252" w:rsidRDefault="004C6762" w:rsidP="004C6762">
      <w:pPr>
        <w:rPr>
          <w:b/>
        </w:rPr>
      </w:pPr>
      <w:r w:rsidRPr="00DE5252">
        <w:rPr>
          <w:b/>
        </w:rPr>
        <w:t>I.1 Volumul de activitate</w:t>
      </w:r>
    </w:p>
    <w:p w:rsidR="00FA5C96" w:rsidRDefault="00FA5C96" w:rsidP="00C45D03">
      <w:pPr>
        <w:spacing w:line="360" w:lineRule="auto"/>
        <w:ind w:firstLine="540"/>
        <w:jc w:val="both"/>
      </w:pPr>
    </w:p>
    <w:p w:rsidR="00C45D03" w:rsidRPr="00541C39" w:rsidRDefault="00C45D03" w:rsidP="00C45D03">
      <w:pPr>
        <w:spacing w:line="360" w:lineRule="auto"/>
        <w:ind w:firstLine="540"/>
        <w:jc w:val="both"/>
      </w:pPr>
      <w:r w:rsidRPr="00541C39">
        <w:t>În anul 201</w:t>
      </w:r>
      <w:r w:rsidR="002F0705">
        <w:t>7</w:t>
      </w:r>
      <w:r w:rsidRPr="00541C39">
        <w:t xml:space="preserve"> </w:t>
      </w:r>
      <w:smartTag w:uri="urn:schemas-microsoft-com:office:smarttags" w:element="PersonName">
        <w:smartTagPr>
          <w:attr w:name="ProductID" w:val="la Judecătoria Vânju"/>
        </w:smartTagPr>
        <w:r w:rsidRPr="00541C39">
          <w:t>la Judecătoria Vânju</w:t>
        </w:r>
      </w:smartTag>
      <w:r w:rsidRPr="00541C39">
        <w:t xml:space="preserve"> Mare, s-au înregistrat un număr de </w:t>
      </w:r>
      <w:r w:rsidR="002F0705">
        <w:t>4548</w:t>
      </w:r>
      <w:r w:rsidRPr="00541C39">
        <w:t xml:space="preserve"> dosare la care se adaugă stocul anului 201</w:t>
      </w:r>
      <w:r w:rsidR="002F0705">
        <w:t>6</w:t>
      </w:r>
      <w:r w:rsidRPr="00541C39">
        <w:t xml:space="preserve"> de 1</w:t>
      </w:r>
      <w:r w:rsidR="002F0705">
        <w:t>446</w:t>
      </w:r>
      <w:r w:rsidRPr="00541C39">
        <w:t xml:space="preserve"> dosare de unde rezultă că volumul de activitate a fost de </w:t>
      </w:r>
      <w:r w:rsidR="002F0705">
        <w:t>5994</w:t>
      </w:r>
      <w:r w:rsidRPr="00541C39">
        <w:t xml:space="preserve"> cauze pe rol. Din totalul de </w:t>
      </w:r>
      <w:r w:rsidR="002F0705">
        <w:t>5994</w:t>
      </w:r>
      <w:r w:rsidRPr="00541C39">
        <w:t xml:space="preserve"> cauze, </w:t>
      </w:r>
      <w:r w:rsidR="002B77DF">
        <w:t>4568</w:t>
      </w:r>
      <w:r w:rsidRPr="00541C39">
        <w:t xml:space="preserve"> au fost cauze civile şi </w:t>
      </w:r>
      <w:r w:rsidR="002B77DF">
        <w:t>1426</w:t>
      </w:r>
      <w:r w:rsidRPr="00541C39">
        <w:t xml:space="preserve"> cauze penale, soluţionându-se un număr de </w:t>
      </w:r>
      <w:r w:rsidR="002F0705">
        <w:t>4826</w:t>
      </w:r>
      <w:r w:rsidRPr="00541C39">
        <w:t xml:space="preserve"> cauze din care </w:t>
      </w:r>
      <w:r w:rsidR="002B77DF">
        <w:t>3624</w:t>
      </w:r>
      <w:r w:rsidRPr="00541C39">
        <w:t xml:space="preserve"> cauze civile şi </w:t>
      </w:r>
      <w:r w:rsidR="002B77DF">
        <w:t>1202</w:t>
      </w:r>
      <w:r w:rsidRPr="00541C39">
        <w:t xml:space="preserve"> cauze penale, stocul final fiind de 1</w:t>
      </w:r>
      <w:r w:rsidR="002B77DF">
        <w:t>168</w:t>
      </w:r>
      <w:r w:rsidRPr="00541C39">
        <w:t xml:space="preserve"> cauze din care </w:t>
      </w:r>
      <w:r w:rsidR="002B77DF">
        <w:t>944</w:t>
      </w:r>
      <w:r w:rsidRPr="00541C39">
        <w:t xml:space="preserve"> cauze civile şi </w:t>
      </w:r>
      <w:r w:rsidR="002B77DF">
        <w:t>224</w:t>
      </w:r>
      <w:r w:rsidRPr="00541C39">
        <w:t xml:space="preserve"> cauze penale.</w:t>
      </w:r>
    </w:p>
    <w:p w:rsidR="00434F22" w:rsidRDefault="00434F22" w:rsidP="004C6762"/>
    <w:p w:rsidR="004C6762" w:rsidRDefault="00434F22" w:rsidP="004C6762">
      <w:r>
        <w:t>Volum activitate 201</w:t>
      </w:r>
      <w:r w:rsidR="002F0705">
        <w:t>7</w:t>
      </w:r>
    </w:p>
    <w:p w:rsidR="002F0705" w:rsidRDefault="002F0705" w:rsidP="004C6762"/>
    <w:tbl>
      <w:tblPr>
        <w:tblW w:w="5000" w:type="pct"/>
        <w:tblCellSpacing w:w="0" w:type="dxa"/>
        <w:tblCellMar>
          <w:left w:w="0" w:type="dxa"/>
          <w:right w:w="0" w:type="dxa"/>
        </w:tblCellMar>
        <w:tblLook w:val="04A0" w:firstRow="1" w:lastRow="0" w:firstColumn="1" w:lastColumn="0" w:noHBand="0" w:noVBand="1"/>
      </w:tblPr>
      <w:tblGrid>
        <w:gridCol w:w="9072"/>
      </w:tblGrid>
      <w:tr w:rsidR="002F0705">
        <w:trPr>
          <w:tblCellSpacing w:w="0" w:type="dxa"/>
        </w:trPr>
        <w:tc>
          <w:tcPr>
            <w:tcW w:w="0" w:type="auto"/>
            <w:vAlign w:val="center"/>
            <w:hideMark/>
          </w:tcPr>
          <w:p w:rsidR="002F0705" w:rsidRDefault="002F0705">
            <w:pPr>
              <w:rPr>
                <w:rFonts w:ascii="Cambria" w:hAnsi="Cambria"/>
                <w:color w:val="000000"/>
                <w:sz w:val="21"/>
                <w:szCs w:val="21"/>
              </w:rPr>
            </w:pPr>
          </w:p>
        </w:tc>
      </w:tr>
      <w:tr w:rsidR="002F0705">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2F0705">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2F0705">
                    <w:trPr>
                      <w:tblCellSpacing w:w="0" w:type="dxa"/>
                    </w:trPr>
                    <w:tc>
                      <w:tcPr>
                        <w:tcW w:w="0" w:type="auto"/>
                        <w:vAlign w:val="center"/>
                        <w:hideMark/>
                      </w:tcPr>
                      <w:p w:rsidR="002F0705"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 name="Imagin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2F0705" w:rsidRDefault="002F0705">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2F0705"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 name="Imagine 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2F0705" w:rsidRDefault="002F0705">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76"/>
                    <w:gridCol w:w="2093"/>
                    <w:gridCol w:w="555"/>
                    <w:gridCol w:w="1153"/>
                    <w:gridCol w:w="751"/>
                    <w:gridCol w:w="555"/>
                    <w:gridCol w:w="675"/>
                    <w:gridCol w:w="579"/>
                    <w:gridCol w:w="475"/>
                    <w:gridCol w:w="579"/>
                    <w:gridCol w:w="981"/>
                  </w:tblGrid>
                  <w:tr w:rsidR="002F0705">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STOC FINAL</w:t>
                        </w:r>
                      </w:p>
                    </w:tc>
                  </w:tr>
                  <w:tr w:rsidR="002F0705">
                    <w:trPr>
                      <w:tblCellSpacing w:w="0" w:type="dxa"/>
                    </w:trPr>
                    <w:tc>
                      <w:tcPr>
                        <w:tcW w:w="0" w:type="auto"/>
                        <w:vMerge/>
                        <w:tcBorders>
                          <w:bottom w:val="single" w:sz="6" w:space="0" w:color="FFFFFF"/>
                        </w:tcBorders>
                        <w:vAlign w:val="center"/>
                        <w:hideMark/>
                      </w:tcPr>
                      <w:p w:rsidR="002F0705" w:rsidRDefault="002F0705">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F0705" w:rsidRDefault="002F0705">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2F0705" w:rsidRDefault="002F0705">
                        <w:pPr>
                          <w:rPr>
                            <w:rFonts w:ascii="Tahoma" w:hAnsi="Tahoma" w:cs="Tahoma"/>
                            <w:b/>
                            <w:bCs/>
                            <w:color w:val="000000"/>
                            <w:sz w:val="17"/>
                            <w:szCs w:val="17"/>
                          </w:rPr>
                        </w:pPr>
                      </w:p>
                    </w:tc>
                  </w:tr>
                  <w:tr w:rsidR="002F0705">
                    <w:trPr>
                      <w:tblCellSpacing w:w="0" w:type="dxa"/>
                    </w:trPr>
                    <w:tc>
                      <w:tcPr>
                        <w:tcW w:w="0" w:type="auto"/>
                        <w:vMerge/>
                        <w:tcBorders>
                          <w:bottom w:val="single" w:sz="6" w:space="0" w:color="FFFFFF"/>
                        </w:tcBorders>
                        <w:vAlign w:val="center"/>
                        <w:hideMark/>
                      </w:tcPr>
                      <w:p w:rsidR="002F0705" w:rsidRDefault="002F0705">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F0705" w:rsidRDefault="002F0705">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F0705" w:rsidRDefault="002F0705">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2F0705" w:rsidRDefault="002F0705">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F0705" w:rsidRDefault="002F0705">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2F0705" w:rsidRDefault="002F0705">
                        <w:pPr>
                          <w:rPr>
                            <w:rFonts w:ascii="Tahoma" w:hAnsi="Tahoma" w:cs="Tahoma"/>
                            <w:b/>
                            <w:bCs/>
                            <w:color w:val="000000"/>
                            <w:sz w:val="17"/>
                            <w:szCs w:val="17"/>
                          </w:rPr>
                        </w:pPr>
                      </w:p>
                    </w:tc>
                  </w:tr>
                  <w:tr w:rsidR="002F0705">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rPr>
                            <w:rFonts w:ascii="Cambria" w:hAnsi="Cambria"/>
                            <w:color w:val="000000"/>
                            <w:sz w:val="21"/>
                            <w:szCs w:val="21"/>
                          </w:rPr>
                        </w:pPr>
                        <w:r>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0000FF"/>
                            <w:sz w:val="21"/>
                            <w:szCs w:val="21"/>
                          </w:rPr>
                        </w:pPr>
                        <w:r>
                          <w:rPr>
                            <w:rFonts w:ascii="Cambria" w:hAnsi="Cambria"/>
                            <w:color w:val="0000FF"/>
                            <w:sz w:val="21"/>
                            <w:szCs w:val="21"/>
                          </w:rPr>
                          <w:t>5994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CC0000"/>
                            <w:sz w:val="21"/>
                            <w:szCs w:val="21"/>
                          </w:rPr>
                        </w:pPr>
                        <w:r>
                          <w:rPr>
                            <w:rFonts w:ascii="Cambria" w:hAnsi="Cambria"/>
                            <w:color w:val="CC0000"/>
                            <w:sz w:val="21"/>
                            <w:szCs w:val="21"/>
                          </w:rPr>
                          <w:t>1446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008000"/>
                            <w:sz w:val="21"/>
                            <w:szCs w:val="21"/>
                          </w:rPr>
                        </w:pPr>
                        <w:r>
                          <w:rPr>
                            <w:rFonts w:ascii="Cambria" w:hAnsi="Cambria"/>
                            <w:color w:val="008000"/>
                            <w:sz w:val="21"/>
                            <w:szCs w:val="21"/>
                          </w:rPr>
                          <w:t>4548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000000"/>
                            <w:sz w:val="21"/>
                            <w:szCs w:val="21"/>
                          </w:rPr>
                        </w:pPr>
                        <w:r>
                          <w:rPr>
                            <w:rFonts w:ascii="Cambria" w:hAnsi="Cambria"/>
                            <w:color w:val="000000"/>
                            <w:sz w:val="21"/>
                            <w:szCs w:val="21"/>
                          </w:rPr>
                          <w:t>4826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CC0000"/>
                            <w:sz w:val="21"/>
                            <w:szCs w:val="21"/>
                          </w:rPr>
                        </w:pPr>
                        <w:r>
                          <w:rPr>
                            <w:rFonts w:ascii="Cambria" w:hAnsi="Cambria"/>
                            <w:color w:val="CC0000"/>
                            <w:sz w:val="21"/>
                            <w:szCs w:val="21"/>
                          </w:rPr>
                          <w:t>1328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CC0000"/>
                            <w:sz w:val="21"/>
                            <w:szCs w:val="21"/>
                          </w:rPr>
                        </w:pPr>
                        <w:r>
                          <w:rPr>
                            <w:rFonts w:ascii="Cambria" w:hAnsi="Cambria"/>
                            <w:color w:val="CC0000"/>
                            <w:sz w:val="21"/>
                            <w:szCs w:val="21"/>
                          </w:rPr>
                          <w:t>91,8%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008000"/>
                            <w:sz w:val="21"/>
                            <w:szCs w:val="21"/>
                          </w:rPr>
                        </w:pPr>
                        <w:r>
                          <w:rPr>
                            <w:rFonts w:ascii="Cambria" w:hAnsi="Cambria"/>
                            <w:color w:val="008000"/>
                            <w:sz w:val="21"/>
                            <w:szCs w:val="21"/>
                          </w:rPr>
                          <w:t>3498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008000"/>
                            <w:sz w:val="21"/>
                            <w:szCs w:val="21"/>
                          </w:rPr>
                        </w:pPr>
                        <w:r>
                          <w:rPr>
                            <w:rFonts w:ascii="Cambria" w:hAnsi="Cambria"/>
                            <w:color w:val="008000"/>
                            <w:sz w:val="21"/>
                            <w:szCs w:val="21"/>
                          </w:rPr>
                          <w:t>76,9%</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2F0705" w:rsidRDefault="002F0705">
                        <w:pPr>
                          <w:jc w:val="center"/>
                          <w:rPr>
                            <w:rFonts w:ascii="Cambria" w:hAnsi="Cambria"/>
                            <w:color w:val="000000"/>
                            <w:sz w:val="21"/>
                            <w:szCs w:val="21"/>
                          </w:rPr>
                        </w:pPr>
                        <w:r>
                          <w:rPr>
                            <w:rFonts w:ascii="Cambria" w:hAnsi="Cambria"/>
                            <w:color w:val="000000"/>
                            <w:sz w:val="21"/>
                            <w:szCs w:val="21"/>
                          </w:rPr>
                          <w:t>1168</w:t>
                        </w:r>
                      </w:p>
                    </w:tc>
                  </w:tr>
                </w:tbl>
                <w:p w:rsidR="002F0705" w:rsidRDefault="002F0705">
                  <w:pPr>
                    <w:rPr>
                      <w:rFonts w:ascii="Cambria" w:hAnsi="Cambria"/>
                      <w:color w:val="000000"/>
                      <w:sz w:val="21"/>
                      <w:szCs w:val="21"/>
                    </w:rPr>
                  </w:pPr>
                </w:p>
              </w:tc>
            </w:tr>
          </w:tbl>
          <w:p w:rsidR="002F0705" w:rsidRDefault="002F0705">
            <w:pPr>
              <w:rPr>
                <w:rFonts w:ascii="Cambria" w:hAnsi="Cambria"/>
                <w:color w:val="000000"/>
                <w:sz w:val="21"/>
                <w:szCs w:val="21"/>
              </w:rPr>
            </w:pPr>
          </w:p>
        </w:tc>
      </w:tr>
    </w:tbl>
    <w:p w:rsidR="006D4F03" w:rsidRDefault="006D4F03" w:rsidP="004C6762"/>
    <w:p w:rsidR="00491FD0" w:rsidRDefault="00491FD0" w:rsidP="004C6762"/>
    <w:p w:rsidR="00491FD0" w:rsidRDefault="00491FD0" w:rsidP="004C6762"/>
    <w:p w:rsidR="00491FD0" w:rsidRDefault="00491FD0" w:rsidP="004C6762"/>
    <w:p w:rsidR="00491FD0" w:rsidRDefault="00491FD0" w:rsidP="004C6762"/>
    <w:p w:rsidR="00491FD0" w:rsidRDefault="00491FD0" w:rsidP="004C6762"/>
    <w:p w:rsidR="00434F22" w:rsidRDefault="00434F22" w:rsidP="004C6762">
      <w:r>
        <w:t>Volum activitate materii non-penale 201</w:t>
      </w:r>
      <w:r w:rsidR="002B77DF">
        <w:t>7</w:t>
      </w:r>
    </w:p>
    <w:p w:rsidR="002F0705" w:rsidRDefault="002F0705" w:rsidP="004C6762"/>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541C39">
        <w:trPr>
          <w:tblCellSpacing w:w="0" w:type="dxa"/>
        </w:trPr>
        <w:tc>
          <w:tcPr>
            <w:tcW w:w="5000" w:type="pct"/>
            <w:shd w:val="clear" w:color="auto" w:fill="153E6C"/>
            <w:noWrap/>
            <w:tcMar>
              <w:top w:w="15" w:type="dxa"/>
              <w:left w:w="15" w:type="dxa"/>
              <w:bottom w:w="15" w:type="dxa"/>
              <w:right w:w="15" w:type="dxa"/>
            </w:tcMar>
            <w:vAlign w:val="center"/>
            <w:hideMark/>
          </w:tcPr>
          <w:p w:rsidR="00541C39" w:rsidRDefault="00541C39">
            <w:pPr>
              <w:jc w:val="center"/>
              <w:rPr>
                <w:rFonts w:ascii="Tahoma" w:hAnsi="Tahoma" w:cs="Tahoma"/>
                <w:b/>
                <w:bCs/>
                <w:color w:val="F9F9F9"/>
                <w:sz w:val="17"/>
                <w:szCs w:val="17"/>
              </w:rPr>
            </w:pPr>
          </w:p>
        </w:tc>
        <w:tc>
          <w:tcPr>
            <w:tcW w:w="0" w:type="auto"/>
            <w:vAlign w:val="center"/>
            <w:hideMark/>
          </w:tcPr>
          <w:p w:rsidR="00541C39"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 name="Imagine 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41C39" w:rsidRDefault="00541C39" w:rsidP="00541C39">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2B77DF">
        <w:trPr>
          <w:tblCellSpacing w:w="0" w:type="dxa"/>
        </w:trPr>
        <w:tc>
          <w:tcPr>
            <w:tcW w:w="5000" w:type="pct"/>
            <w:shd w:val="clear" w:color="auto" w:fill="153E6C"/>
            <w:noWrap/>
            <w:tcMar>
              <w:top w:w="15" w:type="dxa"/>
              <w:left w:w="15" w:type="dxa"/>
              <w:bottom w:w="15" w:type="dxa"/>
              <w:right w:w="15" w:type="dxa"/>
            </w:tcMar>
            <w:vAlign w:val="center"/>
            <w:hideMark/>
          </w:tcPr>
          <w:p w:rsidR="002B77DF" w:rsidRDefault="002B77DF">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2B77DF"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4" name="Imagine 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2B77DF" w:rsidRDefault="002B77DF" w:rsidP="002B77D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79"/>
        <w:gridCol w:w="2099"/>
        <w:gridCol w:w="556"/>
        <w:gridCol w:w="1157"/>
        <w:gridCol w:w="754"/>
        <w:gridCol w:w="557"/>
        <w:gridCol w:w="677"/>
        <w:gridCol w:w="581"/>
        <w:gridCol w:w="476"/>
        <w:gridCol w:w="581"/>
        <w:gridCol w:w="985"/>
      </w:tblGrid>
      <w:tr w:rsidR="002B77DF">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STOC FINAL</w:t>
            </w:r>
          </w:p>
        </w:tc>
      </w:tr>
      <w:tr w:rsidR="002B77DF">
        <w:trPr>
          <w:tblCellSpacing w:w="0" w:type="dxa"/>
        </w:trPr>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r>
      <w:tr w:rsidR="002B77DF">
        <w:trPr>
          <w:tblCellSpacing w:w="0" w:type="dxa"/>
        </w:trPr>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r>
      <w:tr w:rsidR="002B77DF">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rPr>
                <w:rFonts w:ascii="Cambria" w:hAnsi="Cambria"/>
                <w:color w:val="000000"/>
                <w:sz w:val="21"/>
                <w:szCs w:val="21"/>
              </w:rPr>
            </w:pPr>
            <w:r>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FF"/>
                <w:sz w:val="21"/>
                <w:szCs w:val="21"/>
              </w:rPr>
            </w:pPr>
            <w:r>
              <w:rPr>
                <w:rFonts w:ascii="Cambria" w:hAnsi="Cambria"/>
                <w:color w:val="0000FF"/>
                <w:sz w:val="21"/>
                <w:szCs w:val="21"/>
              </w:rPr>
              <w:t>4568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CC0000"/>
                <w:sz w:val="21"/>
                <w:szCs w:val="21"/>
              </w:rPr>
            </w:pPr>
            <w:r>
              <w:rPr>
                <w:rFonts w:ascii="Cambria" w:hAnsi="Cambria"/>
                <w:color w:val="CC0000"/>
                <w:sz w:val="21"/>
                <w:szCs w:val="21"/>
              </w:rPr>
              <w:t>1085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8000"/>
                <w:sz w:val="21"/>
                <w:szCs w:val="21"/>
              </w:rPr>
            </w:pPr>
            <w:r>
              <w:rPr>
                <w:rFonts w:ascii="Cambria" w:hAnsi="Cambria"/>
                <w:color w:val="008000"/>
                <w:sz w:val="21"/>
                <w:szCs w:val="21"/>
              </w:rPr>
              <w:t>3483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00"/>
                <w:sz w:val="21"/>
                <w:szCs w:val="21"/>
              </w:rPr>
            </w:pPr>
            <w:r>
              <w:rPr>
                <w:rFonts w:ascii="Cambria" w:hAnsi="Cambria"/>
                <w:color w:val="000000"/>
                <w:sz w:val="21"/>
                <w:szCs w:val="21"/>
              </w:rPr>
              <w:t>3624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CC0000"/>
                <w:sz w:val="21"/>
                <w:szCs w:val="21"/>
              </w:rPr>
            </w:pPr>
            <w:r>
              <w:rPr>
                <w:rFonts w:ascii="Cambria" w:hAnsi="Cambria"/>
                <w:color w:val="CC0000"/>
                <w:sz w:val="21"/>
                <w:szCs w:val="21"/>
              </w:rPr>
              <w:t>978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CC0000"/>
                <w:sz w:val="21"/>
                <w:szCs w:val="21"/>
              </w:rPr>
            </w:pPr>
            <w:r>
              <w:rPr>
                <w:rFonts w:ascii="Cambria" w:hAnsi="Cambria"/>
                <w:color w:val="CC0000"/>
                <w:sz w:val="21"/>
                <w:szCs w:val="21"/>
              </w:rPr>
              <w:t>90,1%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8000"/>
                <w:sz w:val="21"/>
                <w:szCs w:val="21"/>
              </w:rPr>
            </w:pPr>
            <w:r>
              <w:rPr>
                <w:rFonts w:ascii="Cambria" w:hAnsi="Cambria"/>
                <w:color w:val="008000"/>
                <w:sz w:val="21"/>
                <w:szCs w:val="21"/>
              </w:rPr>
              <w:t>2646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8000"/>
                <w:sz w:val="21"/>
                <w:szCs w:val="21"/>
              </w:rPr>
            </w:pPr>
            <w:r>
              <w:rPr>
                <w:rFonts w:ascii="Cambria" w:hAnsi="Cambria"/>
                <w:color w:val="008000"/>
                <w:sz w:val="21"/>
                <w:szCs w:val="21"/>
              </w:rPr>
              <w:t>76,0%</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00"/>
                <w:sz w:val="21"/>
                <w:szCs w:val="21"/>
              </w:rPr>
            </w:pPr>
            <w:r>
              <w:rPr>
                <w:rFonts w:ascii="Cambria" w:hAnsi="Cambria"/>
                <w:color w:val="000000"/>
                <w:sz w:val="21"/>
                <w:szCs w:val="21"/>
              </w:rPr>
              <w:t>944</w:t>
            </w:r>
          </w:p>
        </w:tc>
      </w:tr>
    </w:tbl>
    <w:p w:rsidR="006D4F03" w:rsidRDefault="006D4F03" w:rsidP="004C6762"/>
    <w:p w:rsidR="00434F22" w:rsidRDefault="00434F22" w:rsidP="004C6762">
      <w:r>
        <w:t>Volum activitate materia penal 201</w:t>
      </w:r>
      <w:r w:rsidR="002B77DF">
        <w:t>7</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2B77DF">
        <w:trPr>
          <w:tblCellSpacing w:w="0" w:type="dxa"/>
        </w:trPr>
        <w:tc>
          <w:tcPr>
            <w:tcW w:w="5000" w:type="pct"/>
            <w:shd w:val="clear" w:color="auto" w:fill="153E6C"/>
            <w:noWrap/>
            <w:tcMar>
              <w:top w:w="15" w:type="dxa"/>
              <w:left w:w="15" w:type="dxa"/>
              <w:bottom w:w="15" w:type="dxa"/>
              <w:right w:w="15" w:type="dxa"/>
            </w:tcMar>
            <w:vAlign w:val="center"/>
            <w:hideMark/>
          </w:tcPr>
          <w:p w:rsidR="002B77DF" w:rsidRDefault="002B77DF">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2B77DF"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5" name="Imagine 5"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2B77DF" w:rsidRDefault="002B77DF" w:rsidP="002B77D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88"/>
        <w:gridCol w:w="2126"/>
        <w:gridCol w:w="563"/>
        <w:gridCol w:w="1171"/>
        <w:gridCol w:w="763"/>
        <w:gridCol w:w="563"/>
        <w:gridCol w:w="685"/>
        <w:gridCol w:w="587"/>
        <w:gridCol w:w="372"/>
        <w:gridCol w:w="587"/>
        <w:gridCol w:w="997"/>
      </w:tblGrid>
      <w:tr w:rsidR="002B77DF">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STOC FINAL</w:t>
            </w:r>
          </w:p>
        </w:tc>
      </w:tr>
      <w:tr w:rsidR="002B77DF">
        <w:trPr>
          <w:tblCellSpacing w:w="0" w:type="dxa"/>
        </w:trPr>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r>
      <w:tr w:rsidR="002B77DF">
        <w:trPr>
          <w:tblCellSpacing w:w="0" w:type="dxa"/>
        </w:trPr>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2B77DF" w:rsidRDefault="002B77DF">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B77DF" w:rsidRDefault="002B77DF">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2B77DF" w:rsidRDefault="002B77DF">
            <w:pPr>
              <w:rPr>
                <w:rFonts w:ascii="Tahoma" w:hAnsi="Tahoma" w:cs="Tahoma"/>
                <w:b/>
                <w:bCs/>
                <w:color w:val="000000"/>
                <w:sz w:val="17"/>
                <w:szCs w:val="17"/>
              </w:rPr>
            </w:pPr>
          </w:p>
        </w:tc>
      </w:tr>
      <w:tr w:rsidR="002B77DF">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rPr>
                <w:rFonts w:ascii="Cambria" w:hAnsi="Cambria"/>
                <w:color w:val="000000"/>
                <w:sz w:val="21"/>
                <w:szCs w:val="21"/>
              </w:rPr>
            </w:pPr>
            <w:r>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FF"/>
                <w:sz w:val="21"/>
                <w:szCs w:val="21"/>
              </w:rPr>
            </w:pPr>
            <w:r>
              <w:rPr>
                <w:rFonts w:ascii="Cambria" w:hAnsi="Cambria"/>
                <w:color w:val="0000FF"/>
                <w:sz w:val="21"/>
                <w:szCs w:val="21"/>
              </w:rPr>
              <w:t>1426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CC0000"/>
                <w:sz w:val="21"/>
                <w:szCs w:val="21"/>
              </w:rPr>
            </w:pPr>
            <w:r>
              <w:rPr>
                <w:rFonts w:ascii="Cambria" w:hAnsi="Cambria"/>
                <w:color w:val="CC0000"/>
                <w:sz w:val="21"/>
                <w:szCs w:val="21"/>
              </w:rPr>
              <w:t>361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8000"/>
                <w:sz w:val="21"/>
                <w:szCs w:val="21"/>
              </w:rPr>
            </w:pPr>
            <w:r>
              <w:rPr>
                <w:rFonts w:ascii="Cambria" w:hAnsi="Cambria"/>
                <w:color w:val="008000"/>
                <w:sz w:val="21"/>
                <w:szCs w:val="21"/>
              </w:rPr>
              <w:t>1065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00"/>
                <w:sz w:val="21"/>
                <w:szCs w:val="21"/>
              </w:rPr>
            </w:pPr>
            <w:r>
              <w:rPr>
                <w:rFonts w:ascii="Cambria" w:hAnsi="Cambria"/>
                <w:color w:val="000000"/>
                <w:sz w:val="21"/>
                <w:szCs w:val="21"/>
              </w:rPr>
              <w:t>1202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CC0000"/>
                <w:sz w:val="21"/>
                <w:szCs w:val="21"/>
              </w:rPr>
            </w:pPr>
            <w:r>
              <w:rPr>
                <w:rFonts w:ascii="Cambria" w:hAnsi="Cambria"/>
                <w:color w:val="CC0000"/>
                <w:sz w:val="21"/>
                <w:szCs w:val="21"/>
              </w:rPr>
              <w:t>350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CC0000"/>
                <w:sz w:val="21"/>
                <w:szCs w:val="21"/>
              </w:rPr>
            </w:pPr>
            <w:r>
              <w:rPr>
                <w:rFonts w:ascii="Cambria" w:hAnsi="Cambria"/>
                <w:color w:val="CC0000"/>
                <w:sz w:val="21"/>
                <w:szCs w:val="21"/>
              </w:rPr>
              <w:t>97,0%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8000"/>
                <w:sz w:val="21"/>
                <w:szCs w:val="21"/>
              </w:rPr>
            </w:pPr>
            <w:r>
              <w:rPr>
                <w:rFonts w:ascii="Cambria" w:hAnsi="Cambria"/>
                <w:color w:val="008000"/>
                <w:sz w:val="21"/>
                <w:szCs w:val="21"/>
              </w:rPr>
              <w:t>852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8000"/>
                <w:sz w:val="21"/>
                <w:szCs w:val="21"/>
              </w:rPr>
            </w:pPr>
            <w:r>
              <w:rPr>
                <w:rFonts w:ascii="Cambria" w:hAnsi="Cambria"/>
                <w:color w:val="008000"/>
                <w:sz w:val="21"/>
                <w:szCs w:val="21"/>
              </w:rPr>
              <w:t>80,0%</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2B77DF" w:rsidRDefault="002B77DF">
            <w:pPr>
              <w:jc w:val="center"/>
              <w:rPr>
                <w:rFonts w:ascii="Cambria" w:hAnsi="Cambria"/>
                <w:color w:val="000000"/>
                <w:sz w:val="21"/>
                <w:szCs w:val="21"/>
              </w:rPr>
            </w:pPr>
            <w:r>
              <w:rPr>
                <w:rFonts w:ascii="Cambria" w:hAnsi="Cambria"/>
                <w:color w:val="000000"/>
                <w:sz w:val="21"/>
                <w:szCs w:val="21"/>
              </w:rPr>
              <w:t>224</w:t>
            </w:r>
          </w:p>
        </w:tc>
      </w:tr>
    </w:tbl>
    <w:p w:rsidR="002B77DF" w:rsidRDefault="002B77DF" w:rsidP="004C6762"/>
    <w:p w:rsidR="00541C39" w:rsidRDefault="00541C39" w:rsidP="00541C39">
      <w:pPr>
        <w:rPr>
          <w:rFonts w:ascii="Cambria" w:hAnsi="Cambria"/>
          <w:vanish/>
          <w:color w:val="000000"/>
          <w:sz w:val="21"/>
          <w:szCs w:val="21"/>
        </w:rPr>
      </w:pPr>
    </w:p>
    <w:p w:rsidR="00541C39" w:rsidRDefault="00541C39" w:rsidP="004C6762"/>
    <w:p w:rsidR="00541C39" w:rsidRPr="00F5386D" w:rsidRDefault="00541C39" w:rsidP="004C6762">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3"/>
        <w:gridCol w:w="834"/>
        <w:gridCol w:w="1083"/>
        <w:gridCol w:w="1294"/>
        <w:gridCol w:w="1281"/>
        <w:gridCol w:w="1294"/>
      </w:tblGrid>
      <w:tr w:rsidR="002B77DF" w:rsidRPr="00F5386D" w:rsidTr="00DD13DC">
        <w:trPr>
          <w:jc w:val="center"/>
        </w:trPr>
        <w:tc>
          <w:tcPr>
            <w:tcW w:w="1101" w:type="dxa"/>
            <w:shd w:val="clear" w:color="auto" w:fill="auto"/>
            <w:vAlign w:val="center"/>
          </w:tcPr>
          <w:p w:rsidR="002B77DF" w:rsidRPr="00F5386D" w:rsidRDefault="002B77DF" w:rsidP="008B369B">
            <w:pPr>
              <w:jc w:val="center"/>
              <w:rPr>
                <w:sz w:val="22"/>
                <w:szCs w:val="22"/>
              </w:rPr>
            </w:pPr>
            <w:r w:rsidRPr="00F5386D">
              <w:rPr>
                <w:sz w:val="22"/>
                <w:szCs w:val="22"/>
              </w:rPr>
              <w:t>Materia</w:t>
            </w:r>
          </w:p>
        </w:tc>
        <w:tc>
          <w:tcPr>
            <w:tcW w:w="1133" w:type="dxa"/>
            <w:shd w:val="clear" w:color="auto" w:fill="auto"/>
            <w:vAlign w:val="center"/>
          </w:tcPr>
          <w:p w:rsidR="002B77DF" w:rsidRPr="00F5386D" w:rsidRDefault="002B77DF" w:rsidP="008B369B">
            <w:pPr>
              <w:jc w:val="center"/>
              <w:rPr>
                <w:sz w:val="22"/>
                <w:szCs w:val="22"/>
              </w:rPr>
            </w:pPr>
            <w:r w:rsidRPr="00F5386D">
              <w:rPr>
                <w:sz w:val="22"/>
                <w:szCs w:val="22"/>
              </w:rPr>
              <w:t>Stoc la</w:t>
            </w:r>
          </w:p>
          <w:p w:rsidR="002B77DF" w:rsidRPr="00F5386D" w:rsidRDefault="002B77DF" w:rsidP="002B77DF">
            <w:pPr>
              <w:jc w:val="center"/>
              <w:rPr>
                <w:sz w:val="22"/>
                <w:szCs w:val="22"/>
              </w:rPr>
            </w:pPr>
            <w:r w:rsidRPr="00F5386D">
              <w:rPr>
                <w:sz w:val="22"/>
                <w:szCs w:val="22"/>
              </w:rPr>
              <w:t>01.01.2017</w:t>
            </w:r>
          </w:p>
        </w:tc>
        <w:tc>
          <w:tcPr>
            <w:tcW w:w="834" w:type="dxa"/>
            <w:shd w:val="clear" w:color="auto" w:fill="auto"/>
            <w:vAlign w:val="center"/>
          </w:tcPr>
          <w:p w:rsidR="002B77DF" w:rsidRPr="00F5386D" w:rsidRDefault="002B77DF" w:rsidP="008B369B">
            <w:pPr>
              <w:jc w:val="center"/>
              <w:rPr>
                <w:sz w:val="22"/>
                <w:szCs w:val="22"/>
              </w:rPr>
            </w:pPr>
            <w:r w:rsidRPr="00F5386D">
              <w:rPr>
                <w:sz w:val="22"/>
                <w:szCs w:val="22"/>
              </w:rPr>
              <w:t>Intrate</w:t>
            </w:r>
          </w:p>
        </w:tc>
        <w:tc>
          <w:tcPr>
            <w:tcW w:w="1083" w:type="dxa"/>
            <w:shd w:val="clear" w:color="auto" w:fill="auto"/>
            <w:vAlign w:val="center"/>
          </w:tcPr>
          <w:p w:rsidR="002B77DF" w:rsidRPr="00F5386D" w:rsidRDefault="002B77DF" w:rsidP="008B369B">
            <w:pPr>
              <w:jc w:val="center"/>
              <w:rPr>
                <w:sz w:val="22"/>
                <w:szCs w:val="22"/>
              </w:rPr>
            </w:pPr>
            <w:r w:rsidRPr="00F5386D">
              <w:rPr>
                <w:sz w:val="22"/>
                <w:szCs w:val="22"/>
              </w:rPr>
              <w:t>Volum activitate</w:t>
            </w:r>
          </w:p>
        </w:tc>
        <w:tc>
          <w:tcPr>
            <w:tcW w:w="1294" w:type="dxa"/>
            <w:shd w:val="clear" w:color="auto" w:fill="auto"/>
            <w:vAlign w:val="center"/>
          </w:tcPr>
          <w:p w:rsidR="002B77DF" w:rsidRPr="00F5386D" w:rsidRDefault="002B77DF" w:rsidP="008B369B">
            <w:pPr>
              <w:jc w:val="center"/>
              <w:rPr>
                <w:sz w:val="22"/>
                <w:szCs w:val="22"/>
              </w:rPr>
            </w:pPr>
            <w:r w:rsidRPr="00F5386D">
              <w:rPr>
                <w:sz w:val="22"/>
                <w:szCs w:val="22"/>
              </w:rPr>
              <w:t>Soluționate</w:t>
            </w:r>
          </w:p>
        </w:tc>
        <w:tc>
          <w:tcPr>
            <w:tcW w:w="1281" w:type="dxa"/>
            <w:shd w:val="clear" w:color="auto" w:fill="auto"/>
            <w:vAlign w:val="center"/>
          </w:tcPr>
          <w:p w:rsidR="002B77DF" w:rsidRPr="00F5386D" w:rsidRDefault="002B77DF" w:rsidP="002B77DF">
            <w:pPr>
              <w:jc w:val="center"/>
              <w:rPr>
                <w:sz w:val="22"/>
                <w:szCs w:val="22"/>
              </w:rPr>
            </w:pPr>
            <w:r w:rsidRPr="00F5386D">
              <w:rPr>
                <w:sz w:val="22"/>
                <w:szCs w:val="22"/>
              </w:rPr>
              <w:t>Stoc la 31.12.2017</w:t>
            </w:r>
          </w:p>
        </w:tc>
        <w:tc>
          <w:tcPr>
            <w:tcW w:w="1294" w:type="dxa"/>
            <w:shd w:val="clear" w:color="auto" w:fill="auto"/>
            <w:vAlign w:val="center"/>
          </w:tcPr>
          <w:p w:rsidR="002B77DF" w:rsidRPr="00F5386D" w:rsidRDefault="002B77DF" w:rsidP="008B369B">
            <w:pPr>
              <w:jc w:val="center"/>
              <w:rPr>
                <w:sz w:val="22"/>
                <w:szCs w:val="22"/>
              </w:rPr>
            </w:pPr>
            <w:r w:rsidRPr="00F5386D">
              <w:rPr>
                <w:sz w:val="22"/>
                <w:szCs w:val="22"/>
              </w:rPr>
              <w:t>Suspendate</w:t>
            </w:r>
          </w:p>
          <w:p w:rsidR="002B77DF" w:rsidRPr="00F5386D" w:rsidRDefault="002B77DF" w:rsidP="002B77DF">
            <w:pPr>
              <w:jc w:val="center"/>
              <w:rPr>
                <w:sz w:val="22"/>
                <w:szCs w:val="22"/>
              </w:rPr>
            </w:pPr>
            <w:r w:rsidRPr="00F5386D">
              <w:rPr>
                <w:sz w:val="22"/>
                <w:szCs w:val="22"/>
              </w:rPr>
              <w:t>31.12.2017</w:t>
            </w:r>
          </w:p>
        </w:tc>
      </w:tr>
      <w:tr w:rsidR="002B77DF" w:rsidRPr="00F5386D" w:rsidTr="00DD13DC">
        <w:trPr>
          <w:jc w:val="center"/>
        </w:trPr>
        <w:tc>
          <w:tcPr>
            <w:tcW w:w="1101" w:type="dxa"/>
            <w:shd w:val="clear" w:color="auto" w:fill="auto"/>
          </w:tcPr>
          <w:p w:rsidR="002B77DF" w:rsidRPr="00F5386D" w:rsidRDefault="002B77DF" w:rsidP="004C6762">
            <w:pPr>
              <w:rPr>
                <w:sz w:val="22"/>
                <w:szCs w:val="22"/>
              </w:rPr>
            </w:pPr>
            <w:r w:rsidRPr="00F5386D">
              <w:rPr>
                <w:sz w:val="22"/>
                <w:szCs w:val="22"/>
              </w:rPr>
              <w:t>Civil</w:t>
            </w:r>
          </w:p>
        </w:tc>
        <w:tc>
          <w:tcPr>
            <w:tcW w:w="1133" w:type="dxa"/>
            <w:shd w:val="clear" w:color="auto" w:fill="auto"/>
          </w:tcPr>
          <w:p w:rsidR="002B77DF" w:rsidRPr="00F5386D" w:rsidRDefault="002B77DF" w:rsidP="008B369B">
            <w:pPr>
              <w:jc w:val="right"/>
              <w:rPr>
                <w:sz w:val="22"/>
                <w:szCs w:val="22"/>
              </w:rPr>
            </w:pPr>
            <w:r w:rsidRPr="00F5386D">
              <w:rPr>
                <w:sz w:val="22"/>
                <w:szCs w:val="22"/>
              </w:rPr>
              <w:t>1085</w:t>
            </w:r>
          </w:p>
        </w:tc>
        <w:tc>
          <w:tcPr>
            <w:tcW w:w="834" w:type="dxa"/>
            <w:shd w:val="clear" w:color="auto" w:fill="auto"/>
          </w:tcPr>
          <w:p w:rsidR="002B77DF" w:rsidRPr="00F5386D" w:rsidRDefault="002B77DF" w:rsidP="008B369B">
            <w:pPr>
              <w:jc w:val="right"/>
              <w:rPr>
                <w:sz w:val="22"/>
                <w:szCs w:val="22"/>
              </w:rPr>
            </w:pPr>
            <w:r w:rsidRPr="00F5386D">
              <w:rPr>
                <w:sz w:val="22"/>
                <w:szCs w:val="22"/>
              </w:rPr>
              <w:t>3483</w:t>
            </w:r>
          </w:p>
        </w:tc>
        <w:tc>
          <w:tcPr>
            <w:tcW w:w="1083" w:type="dxa"/>
            <w:shd w:val="clear" w:color="auto" w:fill="auto"/>
          </w:tcPr>
          <w:p w:rsidR="002B77DF" w:rsidRPr="00F5386D" w:rsidRDefault="002B77DF" w:rsidP="008B369B">
            <w:pPr>
              <w:jc w:val="right"/>
              <w:rPr>
                <w:sz w:val="22"/>
                <w:szCs w:val="22"/>
              </w:rPr>
            </w:pPr>
            <w:r w:rsidRPr="00F5386D">
              <w:rPr>
                <w:sz w:val="22"/>
                <w:szCs w:val="22"/>
              </w:rPr>
              <w:t>4568</w:t>
            </w:r>
          </w:p>
        </w:tc>
        <w:tc>
          <w:tcPr>
            <w:tcW w:w="1294" w:type="dxa"/>
            <w:shd w:val="clear" w:color="auto" w:fill="auto"/>
          </w:tcPr>
          <w:p w:rsidR="002B77DF" w:rsidRPr="00F5386D" w:rsidRDefault="002B77DF" w:rsidP="008B369B">
            <w:pPr>
              <w:jc w:val="right"/>
              <w:rPr>
                <w:sz w:val="22"/>
                <w:szCs w:val="22"/>
              </w:rPr>
            </w:pPr>
            <w:r w:rsidRPr="00F5386D">
              <w:rPr>
                <w:sz w:val="22"/>
                <w:szCs w:val="22"/>
              </w:rPr>
              <w:t>3624</w:t>
            </w:r>
          </w:p>
        </w:tc>
        <w:tc>
          <w:tcPr>
            <w:tcW w:w="1281" w:type="dxa"/>
            <w:shd w:val="clear" w:color="auto" w:fill="auto"/>
          </w:tcPr>
          <w:p w:rsidR="002B77DF" w:rsidRPr="00F5386D" w:rsidRDefault="002B77DF" w:rsidP="008B369B">
            <w:pPr>
              <w:jc w:val="right"/>
              <w:rPr>
                <w:sz w:val="22"/>
                <w:szCs w:val="22"/>
              </w:rPr>
            </w:pPr>
            <w:r w:rsidRPr="00F5386D">
              <w:rPr>
                <w:sz w:val="22"/>
                <w:szCs w:val="22"/>
              </w:rPr>
              <w:t>944</w:t>
            </w:r>
          </w:p>
        </w:tc>
        <w:tc>
          <w:tcPr>
            <w:tcW w:w="1294" w:type="dxa"/>
            <w:shd w:val="clear" w:color="auto" w:fill="auto"/>
          </w:tcPr>
          <w:p w:rsidR="002B77DF" w:rsidRPr="00F5386D" w:rsidRDefault="00DD13DC" w:rsidP="00C62E5F">
            <w:pPr>
              <w:jc w:val="right"/>
              <w:rPr>
                <w:color w:val="000000"/>
                <w:sz w:val="22"/>
                <w:szCs w:val="22"/>
              </w:rPr>
            </w:pPr>
            <w:r w:rsidRPr="00F5386D">
              <w:rPr>
                <w:color w:val="000000"/>
                <w:sz w:val="22"/>
                <w:szCs w:val="22"/>
              </w:rPr>
              <w:t>127</w:t>
            </w:r>
          </w:p>
        </w:tc>
      </w:tr>
      <w:tr w:rsidR="002B77DF" w:rsidRPr="00F5386D" w:rsidTr="00DD13DC">
        <w:trPr>
          <w:jc w:val="center"/>
        </w:trPr>
        <w:tc>
          <w:tcPr>
            <w:tcW w:w="1101" w:type="dxa"/>
            <w:shd w:val="clear" w:color="auto" w:fill="auto"/>
          </w:tcPr>
          <w:p w:rsidR="002B77DF" w:rsidRPr="00F5386D" w:rsidRDefault="002B77DF" w:rsidP="004C6762">
            <w:pPr>
              <w:rPr>
                <w:sz w:val="22"/>
                <w:szCs w:val="22"/>
              </w:rPr>
            </w:pPr>
            <w:r w:rsidRPr="00F5386D">
              <w:rPr>
                <w:sz w:val="22"/>
                <w:szCs w:val="22"/>
              </w:rPr>
              <w:t>penal</w:t>
            </w:r>
          </w:p>
        </w:tc>
        <w:tc>
          <w:tcPr>
            <w:tcW w:w="1133" w:type="dxa"/>
            <w:shd w:val="clear" w:color="auto" w:fill="auto"/>
          </w:tcPr>
          <w:p w:rsidR="002B77DF" w:rsidRPr="00F5386D" w:rsidRDefault="002B77DF" w:rsidP="008B369B">
            <w:pPr>
              <w:jc w:val="right"/>
              <w:rPr>
                <w:sz w:val="22"/>
                <w:szCs w:val="22"/>
              </w:rPr>
            </w:pPr>
            <w:r w:rsidRPr="00F5386D">
              <w:rPr>
                <w:sz w:val="22"/>
                <w:szCs w:val="22"/>
              </w:rPr>
              <w:t>361</w:t>
            </w:r>
          </w:p>
        </w:tc>
        <w:tc>
          <w:tcPr>
            <w:tcW w:w="834" w:type="dxa"/>
            <w:shd w:val="clear" w:color="auto" w:fill="auto"/>
          </w:tcPr>
          <w:p w:rsidR="002B77DF" w:rsidRPr="00F5386D" w:rsidRDefault="002B77DF" w:rsidP="008B369B">
            <w:pPr>
              <w:jc w:val="right"/>
              <w:rPr>
                <w:sz w:val="22"/>
                <w:szCs w:val="22"/>
              </w:rPr>
            </w:pPr>
            <w:r w:rsidRPr="00F5386D">
              <w:rPr>
                <w:sz w:val="22"/>
                <w:szCs w:val="22"/>
              </w:rPr>
              <w:t>1065</w:t>
            </w:r>
          </w:p>
        </w:tc>
        <w:tc>
          <w:tcPr>
            <w:tcW w:w="1083" w:type="dxa"/>
            <w:shd w:val="clear" w:color="auto" w:fill="auto"/>
          </w:tcPr>
          <w:p w:rsidR="002B77DF" w:rsidRPr="00F5386D" w:rsidRDefault="002B77DF" w:rsidP="008B369B">
            <w:pPr>
              <w:jc w:val="right"/>
              <w:rPr>
                <w:sz w:val="22"/>
                <w:szCs w:val="22"/>
              </w:rPr>
            </w:pPr>
            <w:r w:rsidRPr="00F5386D">
              <w:rPr>
                <w:sz w:val="22"/>
                <w:szCs w:val="22"/>
              </w:rPr>
              <w:t>1426</w:t>
            </w:r>
          </w:p>
        </w:tc>
        <w:tc>
          <w:tcPr>
            <w:tcW w:w="1294" w:type="dxa"/>
            <w:shd w:val="clear" w:color="auto" w:fill="auto"/>
          </w:tcPr>
          <w:p w:rsidR="002B77DF" w:rsidRPr="00F5386D" w:rsidRDefault="002B77DF" w:rsidP="008B369B">
            <w:pPr>
              <w:jc w:val="right"/>
              <w:rPr>
                <w:sz w:val="22"/>
                <w:szCs w:val="22"/>
              </w:rPr>
            </w:pPr>
            <w:r w:rsidRPr="00F5386D">
              <w:rPr>
                <w:sz w:val="22"/>
                <w:szCs w:val="22"/>
              </w:rPr>
              <w:t>1202</w:t>
            </w:r>
          </w:p>
        </w:tc>
        <w:tc>
          <w:tcPr>
            <w:tcW w:w="1281" w:type="dxa"/>
            <w:shd w:val="clear" w:color="auto" w:fill="auto"/>
          </w:tcPr>
          <w:p w:rsidR="002B77DF" w:rsidRPr="00F5386D" w:rsidRDefault="002B77DF" w:rsidP="008B369B">
            <w:pPr>
              <w:jc w:val="right"/>
              <w:rPr>
                <w:sz w:val="22"/>
                <w:szCs w:val="22"/>
              </w:rPr>
            </w:pPr>
            <w:r w:rsidRPr="00F5386D">
              <w:rPr>
                <w:sz w:val="22"/>
                <w:szCs w:val="22"/>
              </w:rPr>
              <w:t>224</w:t>
            </w:r>
          </w:p>
        </w:tc>
        <w:tc>
          <w:tcPr>
            <w:tcW w:w="1294" w:type="dxa"/>
            <w:shd w:val="clear" w:color="auto" w:fill="auto"/>
          </w:tcPr>
          <w:p w:rsidR="002B77DF" w:rsidRPr="00F5386D" w:rsidRDefault="002B77DF" w:rsidP="009B041A">
            <w:pPr>
              <w:jc w:val="right"/>
              <w:rPr>
                <w:color w:val="000000"/>
                <w:sz w:val="22"/>
                <w:szCs w:val="22"/>
              </w:rPr>
            </w:pPr>
            <w:r w:rsidRPr="00F5386D">
              <w:rPr>
                <w:color w:val="000000"/>
                <w:sz w:val="22"/>
                <w:szCs w:val="22"/>
              </w:rPr>
              <w:t>0</w:t>
            </w:r>
          </w:p>
        </w:tc>
      </w:tr>
      <w:tr w:rsidR="002B77DF" w:rsidRPr="00F5386D" w:rsidTr="00DD13DC">
        <w:trPr>
          <w:jc w:val="center"/>
        </w:trPr>
        <w:tc>
          <w:tcPr>
            <w:tcW w:w="1101" w:type="dxa"/>
            <w:shd w:val="clear" w:color="auto" w:fill="auto"/>
          </w:tcPr>
          <w:p w:rsidR="002B77DF" w:rsidRPr="00F5386D" w:rsidRDefault="002B77DF" w:rsidP="004C6762">
            <w:pPr>
              <w:rPr>
                <w:sz w:val="22"/>
                <w:szCs w:val="22"/>
              </w:rPr>
            </w:pPr>
            <w:r w:rsidRPr="00F5386D">
              <w:rPr>
                <w:sz w:val="22"/>
                <w:szCs w:val="22"/>
              </w:rPr>
              <w:t>Total</w:t>
            </w:r>
          </w:p>
        </w:tc>
        <w:tc>
          <w:tcPr>
            <w:tcW w:w="1133" w:type="dxa"/>
            <w:shd w:val="clear" w:color="auto" w:fill="auto"/>
          </w:tcPr>
          <w:p w:rsidR="002B77DF" w:rsidRPr="00F5386D" w:rsidRDefault="002B77DF" w:rsidP="008B369B">
            <w:pPr>
              <w:jc w:val="right"/>
              <w:rPr>
                <w:sz w:val="22"/>
                <w:szCs w:val="22"/>
              </w:rPr>
            </w:pPr>
            <w:r w:rsidRPr="00F5386D">
              <w:rPr>
                <w:sz w:val="22"/>
                <w:szCs w:val="22"/>
              </w:rPr>
              <w:t>1446</w:t>
            </w:r>
          </w:p>
        </w:tc>
        <w:tc>
          <w:tcPr>
            <w:tcW w:w="834" w:type="dxa"/>
            <w:shd w:val="clear" w:color="auto" w:fill="auto"/>
          </w:tcPr>
          <w:p w:rsidR="002B77DF" w:rsidRPr="00F5386D" w:rsidRDefault="002B77DF" w:rsidP="008B369B">
            <w:pPr>
              <w:jc w:val="right"/>
              <w:rPr>
                <w:sz w:val="22"/>
                <w:szCs w:val="22"/>
              </w:rPr>
            </w:pPr>
            <w:r w:rsidRPr="00F5386D">
              <w:rPr>
                <w:sz w:val="22"/>
                <w:szCs w:val="22"/>
              </w:rPr>
              <w:t>4548</w:t>
            </w:r>
          </w:p>
        </w:tc>
        <w:tc>
          <w:tcPr>
            <w:tcW w:w="1083" w:type="dxa"/>
            <w:shd w:val="clear" w:color="auto" w:fill="auto"/>
          </w:tcPr>
          <w:p w:rsidR="002B77DF" w:rsidRPr="00F5386D" w:rsidRDefault="002B77DF" w:rsidP="008B369B">
            <w:pPr>
              <w:jc w:val="right"/>
              <w:rPr>
                <w:sz w:val="22"/>
                <w:szCs w:val="22"/>
              </w:rPr>
            </w:pPr>
            <w:r w:rsidRPr="00F5386D">
              <w:rPr>
                <w:sz w:val="22"/>
                <w:szCs w:val="22"/>
              </w:rPr>
              <w:t>5994</w:t>
            </w:r>
          </w:p>
        </w:tc>
        <w:tc>
          <w:tcPr>
            <w:tcW w:w="1294" w:type="dxa"/>
            <w:shd w:val="clear" w:color="auto" w:fill="auto"/>
          </w:tcPr>
          <w:p w:rsidR="002B77DF" w:rsidRPr="00F5386D" w:rsidRDefault="002B77DF" w:rsidP="008B369B">
            <w:pPr>
              <w:jc w:val="right"/>
              <w:rPr>
                <w:sz w:val="22"/>
                <w:szCs w:val="22"/>
              </w:rPr>
            </w:pPr>
            <w:r w:rsidRPr="00F5386D">
              <w:rPr>
                <w:sz w:val="22"/>
                <w:szCs w:val="22"/>
              </w:rPr>
              <w:t>4826</w:t>
            </w:r>
          </w:p>
        </w:tc>
        <w:tc>
          <w:tcPr>
            <w:tcW w:w="1281" w:type="dxa"/>
            <w:shd w:val="clear" w:color="auto" w:fill="auto"/>
          </w:tcPr>
          <w:p w:rsidR="002B77DF" w:rsidRPr="00F5386D" w:rsidRDefault="002B77DF" w:rsidP="008B369B">
            <w:pPr>
              <w:jc w:val="right"/>
              <w:rPr>
                <w:sz w:val="22"/>
                <w:szCs w:val="22"/>
              </w:rPr>
            </w:pPr>
            <w:r w:rsidRPr="00F5386D">
              <w:rPr>
                <w:sz w:val="22"/>
                <w:szCs w:val="22"/>
              </w:rPr>
              <w:t>1168</w:t>
            </w:r>
          </w:p>
        </w:tc>
        <w:tc>
          <w:tcPr>
            <w:tcW w:w="1294" w:type="dxa"/>
            <w:shd w:val="clear" w:color="auto" w:fill="auto"/>
          </w:tcPr>
          <w:p w:rsidR="002B77DF" w:rsidRPr="00F5386D" w:rsidRDefault="00DD13DC" w:rsidP="009B041A">
            <w:pPr>
              <w:jc w:val="right"/>
              <w:rPr>
                <w:color w:val="000000"/>
                <w:sz w:val="22"/>
                <w:szCs w:val="22"/>
              </w:rPr>
            </w:pPr>
            <w:r w:rsidRPr="00F5386D">
              <w:rPr>
                <w:color w:val="000000"/>
                <w:sz w:val="22"/>
                <w:szCs w:val="22"/>
              </w:rPr>
              <w:t>127</w:t>
            </w:r>
          </w:p>
        </w:tc>
      </w:tr>
    </w:tbl>
    <w:p w:rsidR="00541C39" w:rsidRPr="00F5386D" w:rsidRDefault="00541C39" w:rsidP="004C6762">
      <w:pPr>
        <w:rPr>
          <w:sz w:val="22"/>
          <w:szCs w:val="22"/>
        </w:rPr>
      </w:pPr>
    </w:p>
    <w:p w:rsidR="00412CE7" w:rsidRPr="00F5386D" w:rsidRDefault="00412CE7" w:rsidP="00FA5C96">
      <w:pPr>
        <w:ind w:firstLine="708"/>
        <w:jc w:val="both"/>
        <w:rPr>
          <w:sz w:val="22"/>
          <w:szCs w:val="22"/>
        </w:rPr>
      </w:pPr>
    </w:p>
    <w:p w:rsidR="00412CE7" w:rsidRPr="00F5386D" w:rsidRDefault="00412CE7" w:rsidP="00FA5C96">
      <w:pPr>
        <w:ind w:firstLine="708"/>
        <w:jc w:val="both"/>
        <w:rPr>
          <w:sz w:val="22"/>
          <w:szCs w:val="22"/>
        </w:rPr>
      </w:pPr>
    </w:p>
    <w:p w:rsidR="00434F22" w:rsidRDefault="004C6762" w:rsidP="00412CE7">
      <w:pPr>
        <w:spacing w:line="360" w:lineRule="auto"/>
        <w:ind w:firstLine="708"/>
        <w:jc w:val="both"/>
      </w:pPr>
      <w:r>
        <w:t xml:space="preserve">Aşadar, raportat la </w:t>
      </w:r>
      <w:r w:rsidR="00434F22">
        <w:t>anul</w:t>
      </w:r>
      <w:r>
        <w:t xml:space="preserve"> anterior este de menţionat că în anul 201</w:t>
      </w:r>
      <w:r w:rsidR="002B77DF">
        <w:t>7</w:t>
      </w:r>
      <w:r>
        <w:t xml:space="preserve"> s-a înregistrat o</w:t>
      </w:r>
      <w:r w:rsidR="00434F22">
        <w:t xml:space="preserve"> </w:t>
      </w:r>
      <w:r w:rsidR="002B77DF">
        <w:t>scădere</w:t>
      </w:r>
      <w:r>
        <w:t xml:space="preserve"> a numărului cauzelor </w:t>
      </w:r>
      <w:r w:rsidR="00DB21AC">
        <w:t xml:space="preserve">de aproximativ 631 dosare </w:t>
      </w:r>
      <w:r>
        <w:t>pe rolul Judecătoriei</w:t>
      </w:r>
      <w:r w:rsidR="00434F22">
        <w:t xml:space="preserve"> Vânju Mar</w:t>
      </w:r>
      <w:r w:rsidR="00F34236">
        <w:t xml:space="preserve">e de la </w:t>
      </w:r>
      <w:r w:rsidR="00DB21AC">
        <w:t>6625 cauze la 5994</w:t>
      </w:r>
      <w:r w:rsidR="00F34236">
        <w:t xml:space="preserve"> cauze luând în </w:t>
      </w:r>
      <w:r w:rsidR="00DB21AC">
        <w:t xml:space="preserve">considerare și stocul de dosare, iar raportat doar la numărul de dosare intrate s-a înregistrat o scădere de aproximativ </w:t>
      </w:r>
      <w:r w:rsidR="00412CE7">
        <w:t xml:space="preserve">978 </w:t>
      </w:r>
      <w:r w:rsidR="00DB21AC">
        <w:t>dosare, de la</w:t>
      </w:r>
      <w:r w:rsidR="00412CE7">
        <w:t xml:space="preserve"> 5526 dosare </w:t>
      </w:r>
      <w:r w:rsidR="00DB21AC">
        <w:t xml:space="preserve"> </w:t>
      </w:r>
      <w:r w:rsidR="00412CE7">
        <w:t>la 4548 dosare.</w:t>
      </w:r>
    </w:p>
    <w:p w:rsidR="00412CE7" w:rsidRDefault="00412CE7" w:rsidP="00FA5C96">
      <w:pPr>
        <w:ind w:firstLine="708"/>
        <w:jc w:val="both"/>
      </w:pPr>
    </w:p>
    <w:p w:rsidR="00412CE7" w:rsidRDefault="00412CE7" w:rsidP="00412CE7">
      <w:r>
        <w:t>Volum activitate 2016</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412CE7" w:rsidTr="00F006BC">
        <w:trPr>
          <w:tblCellSpacing w:w="0" w:type="dxa"/>
        </w:trPr>
        <w:tc>
          <w:tcPr>
            <w:tcW w:w="5000" w:type="pct"/>
            <w:shd w:val="clear" w:color="auto" w:fill="153E6C"/>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412CE7" w:rsidRDefault="00491FD0" w:rsidP="00F006B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6" name="Imagine 6"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12CE7" w:rsidRDefault="00412CE7" w:rsidP="00412CE7">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79"/>
        <w:gridCol w:w="2099"/>
        <w:gridCol w:w="556"/>
        <w:gridCol w:w="1157"/>
        <w:gridCol w:w="754"/>
        <w:gridCol w:w="557"/>
        <w:gridCol w:w="677"/>
        <w:gridCol w:w="581"/>
        <w:gridCol w:w="476"/>
        <w:gridCol w:w="581"/>
        <w:gridCol w:w="985"/>
      </w:tblGrid>
      <w:tr w:rsidR="00412CE7" w:rsidTr="00F006BC">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FINAL</w:t>
            </w:r>
          </w:p>
        </w:tc>
      </w:tr>
      <w:tr w:rsidR="00412CE7" w:rsidTr="00F006BC">
        <w:trPr>
          <w:tblCellSpacing w:w="0" w:type="dxa"/>
        </w:trPr>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r>
      <w:tr w:rsidR="00412CE7" w:rsidTr="00F006BC">
        <w:trPr>
          <w:tblCellSpacing w:w="0" w:type="dxa"/>
        </w:trPr>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r>
      <w:tr w:rsidR="00412CE7" w:rsidTr="00F006BC">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rPr>
                <w:rFonts w:ascii="Cambria" w:hAnsi="Cambria"/>
                <w:color w:val="000000"/>
                <w:sz w:val="21"/>
                <w:szCs w:val="21"/>
              </w:rPr>
            </w:pPr>
            <w:r>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FF"/>
                <w:sz w:val="21"/>
                <w:szCs w:val="21"/>
              </w:rPr>
            </w:pPr>
            <w:r>
              <w:rPr>
                <w:rFonts w:ascii="Cambria" w:hAnsi="Cambria"/>
                <w:color w:val="0000FF"/>
                <w:sz w:val="21"/>
                <w:szCs w:val="21"/>
              </w:rPr>
              <w:t>6625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1099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5526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5231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989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90,0%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4242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76,8%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1394</w:t>
            </w:r>
          </w:p>
        </w:tc>
      </w:tr>
      <w:tr w:rsidR="00412CE7" w:rsidTr="00F006BC">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p w:rsidR="00412CE7" w:rsidRDefault="00412CE7" w:rsidP="00F006BC">
            <w:pPr>
              <w:jc w:val="right"/>
              <w:rPr>
                <w:rFonts w:ascii="Cambria" w:hAnsi="Cambria"/>
                <w:color w:val="000000"/>
                <w:sz w:val="21"/>
                <w:szCs w:val="21"/>
              </w:rPr>
            </w:pPr>
          </w:p>
        </w:tc>
      </w:tr>
    </w:tbl>
    <w:p w:rsidR="00412CE7" w:rsidRDefault="00412CE7" w:rsidP="00412CE7"/>
    <w:p w:rsidR="00412CE7" w:rsidRDefault="00412CE7" w:rsidP="00412CE7">
      <w:r>
        <w:t>Volum activitate materii non-penale 2016</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412CE7" w:rsidTr="00F006BC">
        <w:trPr>
          <w:tblCellSpacing w:w="0" w:type="dxa"/>
        </w:trPr>
        <w:tc>
          <w:tcPr>
            <w:tcW w:w="5000" w:type="pct"/>
            <w:shd w:val="clear" w:color="auto" w:fill="153E6C"/>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F9F9F9"/>
                <w:sz w:val="17"/>
                <w:szCs w:val="17"/>
              </w:rPr>
            </w:pPr>
          </w:p>
        </w:tc>
        <w:tc>
          <w:tcPr>
            <w:tcW w:w="0" w:type="auto"/>
            <w:vAlign w:val="center"/>
            <w:hideMark/>
          </w:tcPr>
          <w:p w:rsidR="00412CE7" w:rsidRDefault="00491FD0" w:rsidP="00F006B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7" name="Imagine 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12CE7" w:rsidRDefault="00412CE7" w:rsidP="00412CE7">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79"/>
        <w:gridCol w:w="2099"/>
        <w:gridCol w:w="556"/>
        <w:gridCol w:w="1157"/>
        <w:gridCol w:w="754"/>
        <w:gridCol w:w="557"/>
        <w:gridCol w:w="677"/>
        <w:gridCol w:w="581"/>
        <w:gridCol w:w="476"/>
        <w:gridCol w:w="581"/>
        <w:gridCol w:w="985"/>
      </w:tblGrid>
      <w:tr w:rsidR="00412CE7" w:rsidTr="00F006BC">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FINAL</w:t>
            </w:r>
          </w:p>
        </w:tc>
      </w:tr>
      <w:tr w:rsidR="00412CE7" w:rsidTr="00F006BC">
        <w:trPr>
          <w:tblCellSpacing w:w="0" w:type="dxa"/>
        </w:trPr>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r>
      <w:tr w:rsidR="00412CE7" w:rsidTr="00F006BC">
        <w:trPr>
          <w:tblCellSpacing w:w="0" w:type="dxa"/>
        </w:trPr>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r>
      <w:tr w:rsidR="00412CE7" w:rsidTr="00F006BC">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lastRenderedPageBreak/>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rPr>
                <w:rFonts w:ascii="Cambria" w:hAnsi="Cambria"/>
                <w:color w:val="000000"/>
                <w:sz w:val="21"/>
                <w:szCs w:val="21"/>
              </w:rPr>
            </w:pPr>
            <w:r>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FF"/>
                <w:sz w:val="21"/>
                <w:szCs w:val="21"/>
              </w:rPr>
            </w:pPr>
            <w:r>
              <w:rPr>
                <w:rFonts w:ascii="Cambria" w:hAnsi="Cambria"/>
                <w:color w:val="0000FF"/>
                <w:sz w:val="21"/>
                <w:szCs w:val="21"/>
              </w:rPr>
              <w:t>5330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1009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4321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4276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906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89,8%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3370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78,0%</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1054</w:t>
            </w:r>
          </w:p>
        </w:tc>
      </w:tr>
      <w:tr w:rsidR="00412CE7" w:rsidTr="00F006BC">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p w:rsidR="00412CE7" w:rsidRDefault="00412CE7" w:rsidP="00F006BC">
            <w:pPr>
              <w:jc w:val="right"/>
              <w:rPr>
                <w:rFonts w:ascii="Cambria" w:hAnsi="Cambria"/>
                <w:color w:val="000000"/>
                <w:sz w:val="21"/>
                <w:szCs w:val="21"/>
              </w:rPr>
            </w:pPr>
          </w:p>
        </w:tc>
      </w:tr>
    </w:tbl>
    <w:p w:rsidR="00412CE7" w:rsidRDefault="00412CE7" w:rsidP="00412CE7"/>
    <w:p w:rsidR="00412CE7" w:rsidRDefault="00412CE7" w:rsidP="00412CE7">
      <w:r>
        <w:t>Volum activitate materia penal 2016</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412CE7" w:rsidTr="00F006BC">
        <w:trPr>
          <w:tblCellSpacing w:w="0" w:type="dxa"/>
        </w:trPr>
        <w:tc>
          <w:tcPr>
            <w:tcW w:w="5000" w:type="pct"/>
            <w:shd w:val="clear" w:color="auto" w:fill="153E6C"/>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F9F9F9"/>
                <w:sz w:val="17"/>
                <w:szCs w:val="17"/>
              </w:rPr>
            </w:pPr>
          </w:p>
        </w:tc>
        <w:tc>
          <w:tcPr>
            <w:tcW w:w="0" w:type="auto"/>
            <w:vAlign w:val="center"/>
            <w:hideMark/>
          </w:tcPr>
          <w:p w:rsidR="00412CE7" w:rsidRDefault="00491FD0" w:rsidP="00F006B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8" name="Imagine 8"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12CE7" w:rsidRDefault="00412CE7" w:rsidP="00412CE7">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88"/>
        <w:gridCol w:w="2126"/>
        <w:gridCol w:w="563"/>
        <w:gridCol w:w="1171"/>
        <w:gridCol w:w="763"/>
        <w:gridCol w:w="563"/>
        <w:gridCol w:w="685"/>
        <w:gridCol w:w="587"/>
        <w:gridCol w:w="372"/>
        <w:gridCol w:w="587"/>
        <w:gridCol w:w="997"/>
      </w:tblGrid>
      <w:tr w:rsidR="00412CE7" w:rsidTr="00F006BC">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FINAL</w:t>
            </w:r>
          </w:p>
        </w:tc>
      </w:tr>
      <w:tr w:rsidR="00412CE7" w:rsidTr="00F006BC">
        <w:trPr>
          <w:tblCellSpacing w:w="0" w:type="dxa"/>
        </w:trPr>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r>
      <w:tr w:rsidR="00412CE7" w:rsidTr="00F006BC">
        <w:trPr>
          <w:tblCellSpacing w:w="0" w:type="dxa"/>
        </w:trPr>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412CE7" w:rsidRDefault="00412CE7" w:rsidP="00F006BC">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12CE7" w:rsidRDefault="00412CE7" w:rsidP="00F006BC">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412CE7" w:rsidRDefault="00412CE7" w:rsidP="00F006BC">
            <w:pPr>
              <w:rPr>
                <w:rFonts w:ascii="Tahoma" w:hAnsi="Tahoma" w:cs="Tahoma"/>
                <w:b/>
                <w:bCs/>
                <w:color w:val="000000"/>
                <w:sz w:val="17"/>
                <w:szCs w:val="17"/>
              </w:rPr>
            </w:pPr>
          </w:p>
        </w:tc>
      </w:tr>
      <w:tr w:rsidR="00412CE7" w:rsidTr="00F006BC">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rPr>
                <w:rFonts w:ascii="Cambria" w:hAnsi="Cambria"/>
                <w:color w:val="000000"/>
                <w:sz w:val="21"/>
                <w:szCs w:val="21"/>
              </w:rPr>
            </w:pPr>
            <w:r>
              <w:rPr>
                <w:rFonts w:ascii="Cambria" w:hAnsi="Cambria"/>
                <w:color w:val="000000"/>
                <w:sz w:val="21"/>
                <w:szCs w:val="21"/>
              </w:rPr>
              <w:t>Judecatoria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FF"/>
                <w:sz w:val="21"/>
                <w:szCs w:val="21"/>
              </w:rPr>
            </w:pPr>
            <w:r>
              <w:rPr>
                <w:rFonts w:ascii="Cambria" w:hAnsi="Cambria"/>
                <w:color w:val="0000FF"/>
                <w:sz w:val="21"/>
                <w:szCs w:val="21"/>
              </w:rPr>
              <w:t>1295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90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1205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955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83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CC0000"/>
                <w:sz w:val="21"/>
                <w:szCs w:val="21"/>
              </w:rPr>
            </w:pPr>
            <w:r>
              <w:rPr>
                <w:rFonts w:ascii="Cambria" w:hAnsi="Cambria"/>
                <w:color w:val="CC0000"/>
                <w:sz w:val="21"/>
                <w:szCs w:val="21"/>
              </w:rPr>
              <w:t>92,2%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872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8000"/>
                <w:sz w:val="21"/>
                <w:szCs w:val="21"/>
              </w:rPr>
            </w:pPr>
            <w:r>
              <w:rPr>
                <w:rFonts w:ascii="Cambria" w:hAnsi="Cambria"/>
                <w:color w:val="008000"/>
                <w:sz w:val="21"/>
                <w:szCs w:val="21"/>
              </w:rPr>
              <w:t>72,4%</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412CE7" w:rsidRDefault="00412CE7" w:rsidP="00F006BC">
            <w:pPr>
              <w:jc w:val="center"/>
              <w:rPr>
                <w:rFonts w:ascii="Cambria" w:hAnsi="Cambria"/>
                <w:color w:val="000000"/>
                <w:sz w:val="21"/>
                <w:szCs w:val="21"/>
              </w:rPr>
            </w:pPr>
            <w:r>
              <w:rPr>
                <w:rFonts w:ascii="Cambria" w:hAnsi="Cambria"/>
                <w:color w:val="000000"/>
                <w:sz w:val="21"/>
                <w:szCs w:val="21"/>
              </w:rPr>
              <w:t>340</w:t>
            </w:r>
          </w:p>
        </w:tc>
      </w:tr>
    </w:tbl>
    <w:p w:rsidR="00412CE7" w:rsidRDefault="00412CE7" w:rsidP="00FA5C96">
      <w:pPr>
        <w:ind w:firstLine="708"/>
        <w:jc w:val="both"/>
      </w:pPr>
    </w:p>
    <w:p w:rsidR="00491FD0" w:rsidRDefault="00DE5252" w:rsidP="00491FD0">
      <w:pPr>
        <w:spacing w:line="360" w:lineRule="auto"/>
        <w:jc w:val="both"/>
        <w:rPr>
          <w:b/>
        </w:rPr>
      </w:pPr>
      <w:r>
        <w:rPr>
          <w:b/>
        </w:rPr>
        <w:tab/>
      </w:r>
    </w:p>
    <w:p w:rsidR="00412CE7" w:rsidRDefault="009C6FB0" w:rsidP="00491FD0">
      <w:pPr>
        <w:spacing w:line="360" w:lineRule="auto"/>
        <w:ind w:firstLine="708"/>
        <w:jc w:val="both"/>
        <w:rPr>
          <w:rFonts w:eastAsia="Calibri"/>
          <w:b/>
          <w:lang w:eastAsia="en-US"/>
        </w:rPr>
      </w:pPr>
      <w:r>
        <w:t xml:space="preserve">Față de anul anterior, se constată o creștere  a numărului de dosare în materie penală, de la </w:t>
      </w:r>
      <w:r w:rsidR="00412CE7">
        <w:t>1295</w:t>
      </w:r>
      <w:r>
        <w:t xml:space="preserve"> dosare în anul 201</w:t>
      </w:r>
      <w:r w:rsidR="00412CE7">
        <w:t>6</w:t>
      </w:r>
      <w:r>
        <w:t xml:space="preserve"> la 1</w:t>
      </w:r>
      <w:r w:rsidR="00412CE7">
        <w:t>426</w:t>
      </w:r>
      <w:r>
        <w:t xml:space="preserve"> dosare în anul 201</w:t>
      </w:r>
      <w:r w:rsidR="00412CE7">
        <w:t>7 și o scădere  a numărului de dosare în materie civilă, de la 5330 dosare în anul 2016 la 4568 dosare în anul 2017</w:t>
      </w:r>
      <w:r w:rsidR="00F5386D">
        <w:t>, diferența fiind de 978 dosare.</w:t>
      </w:r>
    </w:p>
    <w:p w:rsidR="00491FD0" w:rsidRDefault="00491FD0" w:rsidP="00F34236">
      <w:pPr>
        <w:spacing w:after="200" w:line="360" w:lineRule="auto"/>
        <w:ind w:firstLine="720"/>
        <w:jc w:val="center"/>
        <w:rPr>
          <w:rFonts w:eastAsia="Calibri"/>
          <w:b/>
          <w:lang w:eastAsia="en-US"/>
        </w:rPr>
      </w:pPr>
    </w:p>
    <w:p w:rsidR="00F34236" w:rsidRDefault="00F34236" w:rsidP="00F34236">
      <w:pPr>
        <w:spacing w:after="200" w:line="360" w:lineRule="auto"/>
        <w:ind w:firstLine="720"/>
        <w:jc w:val="center"/>
        <w:rPr>
          <w:rFonts w:eastAsia="Calibri"/>
          <w:b/>
          <w:lang w:eastAsia="en-US"/>
        </w:rPr>
      </w:pPr>
      <w:r w:rsidRPr="00F34236">
        <w:rPr>
          <w:rFonts w:eastAsia="Calibri"/>
          <w:b/>
          <w:lang w:eastAsia="en-US"/>
        </w:rPr>
        <w:t xml:space="preserve">Evoluţia generală a dosarelor nou înregistrate pe ultimii </w:t>
      </w:r>
      <w:r>
        <w:rPr>
          <w:rFonts w:eastAsia="Calibri"/>
          <w:b/>
          <w:lang w:eastAsia="en-US"/>
        </w:rPr>
        <w:t>3</w:t>
      </w:r>
      <w:r w:rsidRPr="00F34236">
        <w:rPr>
          <w:rFonts w:eastAsia="Calibri"/>
          <w:b/>
          <w:lang w:eastAsia="en-US"/>
        </w:rPr>
        <w:t xml:space="preserve"> ani</w:t>
      </w:r>
    </w:p>
    <w:p w:rsidR="00F34236" w:rsidRDefault="00491FD0" w:rsidP="00F34236">
      <w:pPr>
        <w:spacing w:after="200" w:line="360" w:lineRule="auto"/>
        <w:ind w:firstLine="720"/>
        <w:jc w:val="center"/>
      </w:pPr>
      <w:r>
        <w:rPr>
          <w:noProof/>
        </w:rPr>
        <w:drawing>
          <wp:inline distT="0" distB="0" distL="0" distR="0">
            <wp:extent cx="3209925" cy="3438525"/>
            <wp:effectExtent l="0" t="0" r="0" b="0"/>
            <wp:docPr id="9"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34236" w:rsidRDefault="00F34236" w:rsidP="00F34236">
      <w:pPr>
        <w:spacing w:after="200" w:line="360" w:lineRule="auto"/>
        <w:ind w:firstLine="720"/>
        <w:jc w:val="cente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491FD0" w:rsidRDefault="00491FD0" w:rsidP="002B13BB">
      <w:pPr>
        <w:ind w:firstLine="720"/>
        <w:jc w:val="center"/>
        <w:rPr>
          <w:b/>
        </w:rPr>
      </w:pPr>
    </w:p>
    <w:p w:rsidR="00F34236" w:rsidRDefault="00F34236" w:rsidP="002B13BB">
      <w:pPr>
        <w:ind w:firstLine="720"/>
        <w:jc w:val="center"/>
        <w:rPr>
          <w:b/>
        </w:rPr>
      </w:pPr>
      <w:r>
        <w:rPr>
          <w:b/>
        </w:rPr>
        <w:t>Evoluţia pe mate</w:t>
      </w:r>
      <w:r w:rsidR="00691EB4">
        <w:rPr>
          <w:b/>
        </w:rPr>
        <w:t>rii a dosarelor nou intrate</w:t>
      </w:r>
      <w:r>
        <w:rPr>
          <w:b/>
        </w:rPr>
        <w:t xml:space="preserve"> pe ultimii 3 ani</w:t>
      </w:r>
    </w:p>
    <w:p w:rsidR="00491FD0" w:rsidRDefault="00491FD0" w:rsidP="002B13BB">
      <w:pPr>
        <w:ind w:firstLine="720"/>
        <w:jc w:val="center"/>
        <w:rPr>
          <w:b/>
        </w:rPr>
      </w:pPr>
    </w:p>
    <w:p w:rsidR="00F5386D" w:rsidRDefault="00491FD0" w:rsidP="00F5386D">
      <w:r>
        <w:rPr>
          <w:noProof/>
        </w:rPr>
        <w:drawing>
          <wp:inline distT="0" distB="0" distL="0" distR="0">
            <wp:extent cx="2667000" cy="2886075"/>
            <wp:effectExtent l="0" t="0" r="19050" b="9525"/>
            <wp:docPr id="10"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rPr>
        <w:drawing>
          <wp:inline distT="0" distB="0" distL="0" distR="0">
            <wp:extent cx="2667000" cy="2895600"/>
            <wp:effectExtent l="0" t="0" r="19050" b="19050"/>
            <wp:docPr id="11" name="Diagramă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5386D" w:rsidRDefault="00F5386D" w:rsidP="00F5386D"/>
    <w:p w:rsidR="002B13BB" w:rsidRPr="008F5CE4" w:rsidRDefault="002B13BB" w:rsidP="008F5CE4">
      <w:pPr>
        <w:spacing w:line="360" w:lineRule="auto"/>
      </w:pPr>
    </w:p>
    <w:p w:rsidR="00D25B0F" w:rsidRDefault="008F5CE4" w:rsidP="005950CA">
      <w:pPr>
        <w:spacing w:line="360" w:lineRule="auto"/>
        <w:ind w:firstLine="708"/>
        <w:jc w:val="both"/>
      </w:pPr>
      <w:r w:rsidRPr="008F5CE4">
        <w:t xml:space="preserve">Judecătorii instanţei au soluţionat, potrivit planificărilor de permanenţă întocmite de preşedintele </w:t>
      </w:r>
      <w:r w:rsidR="00827804">
        <w:t>instanței</w:t>
      </w:r>
      <w:r w:rsidRPr="008F5CE4">
        <w:t xml:space="preserve"> şi aprobate de Colegiul de conducere, un număr de </w:t>
      </w:r>
      <w:r w:rsidR="00A06FA4">
        <w:t xml:space="preserve"> </w:t>
      </w:r>
      <w:r w:rsidR="00D25B0F">
        <w:t>33</w:t>
      </w:r>
      <w:r w:rsidRPr="008F5CE4">
        <w:t xml:space="preserve"> cauze având ca obiect măsuri preventive (dosare privind propuneri de arestare preventivă, dosare privind prelungirea duratei arestării preventive şi cereri înlocuire arest preventiv) şi un număr de</w:t>
      </w:r>
      <w:r w:rsidR="00A06FA4">
        <w:t xml:space="preserve"> </w:t>
      </w:r>
      <w:r w:rsidR="00827804">
        <w:t>3</w:t>
      </w:r>
      <w:r w:rsidR="00D25B0F">
        <w:t>9</w:t>
      </w:r>
      <w:r w:rsidRPr="008F5CE4">
        <w:t xml:space="preserve"> cereri de emitere a mandatelor de percheziţie</w:t>
      </w:r>
      <w:r w:rsidR="00D25B0F">
        <w:t xml:space="preserve"> și s-au emis 73 mandate de percheziție</w:t>
      </w:r>
    </w:p>
    <w:p w:rsidR="008F5CE4" w:rsidRPr="008F5CE4" w:rsidRDefault="008F5CE4" w:rsidP="005950CA">
      <w:pPr>
        <w:spacing w:line="360" w:lineRule="auto"/>
        <w:ind w:firstLine="708"/>
        <w:jc w:val="both"/>
      </w:pPr>
      <w:r w:rsidRPr="008F5CE4">
        <w:t>În acelaşi timp, în cursul anului 201</w:t>
      </w:r>
      <w:r w:rsidR="00A06FA4">
        <w:t>7</w:t>
      </w:r>
      <w:r w:rsidRPr="008F5CE4">
        <w:t>, au fost soluţionate, în conformitate cu dispoziţiile art. 138 şi următoarele Cod procedură penală,</w:t>
      </w:r>
      <w:r w:rsidR="00827804">
        <w:t xml:space="preserve"> </w:t>
      </w:r>
      <w:r w:rsidR="00D25B0F">
        <w:t>50</w:t>
      </w:r>
      <w:r w:rsidRPr="008F5CE4">
        <w:t xml:space="preserve"> cauze având ca obiect cereri de emitere a mand</w:t>
      </w:r>
      <w:r w:rsidR="00D25B0F">
        <w:t>atului de supraveghere tehnică și au fost emise un număr de 74 autorizații.</w:t>
      </w:r>
    </w:p>
    <w:p w:rsidR="008F5CE4" w:rsidRPr="008F5CE4" w:rsidRDefault="008F5CE4" w:rsidP="005950CA">
      <w:pPr>
        <w:spacing w:line="360" w:lineRule="auto"/>
        <w:ind w:firstLine="708"/>
        <w:jc w:val="both"/>
      </w:pPr>
      <w:r w:rsidRPr="008F5CE4">
        <w:t>Cu privire la activitatea desfăşurată de Biroul executări penale,  în cursul anului 201</w:t>
      </w:r>
      <w:r w:rsidR="00A06FA4">
        <w:t>7</w:t>
      </w:r>
      <w:r w:rsidRPr="008F5CE4">
        <w:t xml:space="preserve">, în registrul de executări, s-au deschis </w:t>
      </w:r>
      <w:r w:rsidR="00A06FA4">
        <w:t>332 poziţii și au fost înregistrate un număr de 265 sentințe penale.</w:t>
      </w:r>
      <w:r w:rsidR="005950CA">
        <w:t xml:space="preserve"> </w:t>
      </w:r>
      <w:r w:rsidRPr="008F5CE4">
        <w:t xml:space="preserve">De asemenea, s-au emis </w:t>
      </w:r>
      <w:r w:rsidR="00A06FA4">
        <w:t>46 mandate de executare a pedepsei închisorii și 13</w:t>
      </w:r>
      <w:r w:rsidRPr="008F5CE4">
        <w:t xml:space="preserve"> mandate </w:t>
      </w:r>
      <w:r w:rsidR="00A06FA4">
        <w:t>europene de arestare.</w:t>
      </w:r>
    </w:p>
    <w:p w:rsidR="00A06FA4" w:rsidRDefault="00A06FA4" w:rsidP="004C6762">
      <w:pPr>
        <w:rPr>
          <w:b/>
        </w:rPr>
      </w:pPr>
    </w:p>
    <w:p w:rsidR="004C6762" w:rsidRDefault="00DE5252" w:rsidP="004C6762">
      <w:pPr>
        <w:rPr>
          <w:b/>
        </w:rPr>
      </w:pPr>
      <w:r>
        <w:rPr>
          <w:b/>
        </w:rPr>
        <w:t xml:space="preserve">I.2. </w:t>
      </w:r>
      <w:r w:rsidR="0025640B" w:rsidRPr="00E178F9">
        <w:rPr>
          <w:b/>
        </w:rPr>
        <w:t>Încărcătura pe judecător și pe scheme</w:t>
      </w:r>
    </w:p>
    <w:p w:rsidR="00FA5C96" w:rsidRPr="00E178F9" w:rsidRDefault="00FA5C96" w:rsidP="004C6762">
      <w:pPr>
        <w:rPr>
          <w:b/>
        </w:rPr>
      </w:pPr>
    </w:p>
    <w:p w:rsidR="00084E53" w:rsidRDefault="00DE5252" w:rsidP="007E716F">
      <w:pPr>
        <w:spacing w:line="360" w:lineRule="auto"/>
        <w:ind w:firstLine="708"/>
        <w:jc w:val="both"/>
      </w:pPr>
      <w:r>
        <w:t>Î</w:t>
      </w:r>
      <w:r w:rsidR="004C6762">
        <w:t>n anul 201</w:t>
      </w:r>
      <w:r w:rsidR="00310853">
        <w:t>7</w:t>
      </w:r>
      <w:r w:rsidR="004C6762">
        <w:t xml:space="preserve"> pe rolul instanţei s-au aflat spre soluţionare un număr de</w:t>
      </w:r>
      <w:r w:rsidR="00E178F9">
        <w:t xml:space="preserve"> </w:t>
      </w:r>
      <w:r w:rsidR="00310853">
        <w:t>5994</w:t>
      </w:r>
      <w:r w:rsidR="00E178F9">
        <w:t xml:space="preserve"> </w:t>
      </w:r>
      <w:r w:rsidR="004C6762">
        <w:t>dosare, ce au fost repartizate spre soluţionare unui număr de</w:t>
      </w:r>
      <w:r w:rsidR="00E178F9">
        <w:t xml:space="preserve"> aproximativ </w:t>
      </w:r>
      <w:r w:rsidR="00310853">
        <w:t>5</w:t>
      </w:r>
      <w:r w:rsidR="00E178F9">
        <w:t xml:space="preserve"> judecători</w:t>
      </w:r>
      <w:r w:rsidR="00310853">
        <w:t xml:space="preserve"> (mai precis 4,8)</w:t>
      </w:r>
      <w:r w:rsidR="00E178F9">
        <w:t xml:space="preserve">, </w:t>
      </w:r>
      <w:r w:rsidR="004C6762">
        <w:t>încărcătura pe judecător fiind în medie de</w:t>
      </w:r>
      <w:r w:rsidR="00E178F9">
        <w:t xml:space="preserve"> 1</w:t>
      </w:r>
      <w:r w:rsidR="00310853">
        <w:t>248</w:t>
      </w:r>
      <w:r w:rsidR="00E178F9">
        <w:t>,</w:t>
      </w:r>
      <w:r w:rsidR="00310853">
        <w:t>8</w:t>
      </w:r>
      <w:r w:rsidR="00E178F9">
        <w:t xml:space="preserve"> </w:t>
      </w:r>
      <w:r w:rsidR="004C6762">
        <w:t>dosare/judecător, respectiv:</w:t>
      </w:r>
      <w:r w:rsidR="007E716F">
        <w:t xml:space="preserve"> </w:t>
      </w:r>
      <w:r w:rsidR="00E178F9">
        <w:t>în materie civilă 9</w:t>
      </w:r>
      <w:r w:rsidR="00310853">
        <w:t>71,9</w:t>
      </w:r>
      <w:r w:rsidR="004C6762">
        <w:t xml:space="preserve"> dosare/judecător, iar în materie penală  </w:t>
      </w:r>
      <w:r w:rsidR="00084E53">
        <w:t>310</w:t>
      </w:r>
      <w:r w:rsidR="00D7310D">
        <w:t xml:space="preserve"> </w:t>
      </w:r>
      <w:r w:rsidR="00084E53">
        <w:t>dosare/judecător.</w:t>
      </w:r>
    </w:p>
    <w:p w:rsidR="004C6762" w:rsidRDefault="00084E53" w:rsidP="00084E53">
      <w:pPr>
        <w:spacing w:line="360" w:lineRule="auto"/>
        <w:ind w:firstLine="708"/>
        <w:jc w:val="both"/>
      </w:pPr>
      <w:r>
        <w:lastRenderedPageBreak/>
        <w:t>Se constată astfel o creștere a încărcăturii de dosare pe judecător de 125,9 dosare/judecător, în materie civilă creșterea fiind de 68,5 dosare pe judecător, iar în materie penală creșterea fiind de 65,7 dosare/judecător.</w:t>
      </w:r>
    </w:p>
    <w:p w:rsidR="00310853" w:rsidRDefault="00310853" w:rsidP="00310853">
      <w:r>
        <w:t>Încărcătura pe judecător anul 2017</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310853">
        <w:trPr>
          <w:tblCellSpacing w:w="0" w:type="dxa"/>
        </w:trPr>
        <w:tc>
          <w:tcPr>
            <w:tcW w:w="5000" w:type="pct"/>
            <w:shd w:val="clear" w:color="auto" w:fill="153E6C"/>
            <w:noWrap/>
            <w:tcMar>
              <w:top w:w="15" w:type="dxa"/>
              <w:left w:w="15" w:type="dxa"/>
              <w:bottom w:w="15" w:type="dxa"/>
              <w:right w:w="15" w:type="dxa"/>
            </w:tcMar>
            <w:vAlign w:val="center"/>
            <w:hideMark/>
          </w:tcPr>
          <w:p w:rsidR="00310853" w:rsidRDefault="00310853">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310853"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2" name="Imagine 1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10853" w:rsidRDefault="00310853" w:rsidP="0031085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9"/>
        <w:gridCol w:w="1071"/>
        <w:gridCol w:w="699"/>
        <w:gridCol w:w="649"/>
        <w:gridCol w:w="895"/>
        <w:gridCol w:w="815"/>
        <w:gridCol w:w="763"/>
        <w:gridCol w:w="762"/>
        <w:gridCol w:w="880"/>
      </w:tblGrid>
      <w:tr w:rsidR="00310853">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ADITIONAT</w:t>
            </w:r>
          </w:p>
        </w:tc>
      </w:tr>
      <w:tr w:rsidR="00310853">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0000"/>
                <w:sz w:val="21"/>
                <w:szCs w:val="21"/>
              </w:rPr>
            </w:pPr>
            <w:r>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00FF"/>
                <w:sz w:val="21"/>
                <w:szCs w:val="21"/>
              </w:rPr>
            </w:pPr>
            <w:r>
              <w:rPr>
                <w:rFonts w:ascii="Cambria" w:hAnsi="Cambria"/>
                <w:color w:val="0000FF"/>
                <w:sz w:val="21"/>
                <w:szCs w:val="21"/>
              </w:rPr>
              <w:t>1446</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CC0000"/>
                <w:sz w:val="21"/>
                <w:szCs w:val="21"/>
              </w:rPr>
            </w:pPr>
            <w:r>
              <w:rPr>
                <w:rFonts w:ascii="Cambria" w:hAnsi="Cambria"/>
                <w:color w:val="CC0000"/>
                <w:sz w:val="21"/>
                <w:szCs w:val="21"/>
              </w:rPr>
              <w:t>4548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5994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CC0000"/>
                <w:sz w:val="21"/>
                <w:szCs w:val="21"/>
              </w:rPr>
            </w:pPr>
            <w:r>
              <w:rPr>
                <w:rFonts w:ascii="Cambria" w:hAnsi="Cambria"/>
                <w:color w:val="CC0000"/>
                <w:sz w:val="21"/>
                <w:szCs w:val="21"/>
              </w:rPr>
              <w:t>5994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4,8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947,5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1248,8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1248,8</w:t>
            </w:r>
          </w:p>
        </w:tc>
      </w:tr>
    </w:tbl>
    <w:p w:rsidR="00310853" w:rsidRDefault="00310853" w:rsidP="00310853"/>
    <w:p w:rsidR="00310853" w:rsidRDefault="00310853" w:rsidP="00310853">
      <w:pPr>
        <w:rPr>
          <w:rFonts w:ascii="Cambria" w:hAnsi="Cambria"/>
          <w:color w:val="000000"/>
          <w:sz w:val="21"/>
          <w:szCs w:val="21"/>
        </w:rPr>
      </w:pPr>
      <w:r>
        <w:rPr>
          <w:rFonts w:ascii="Cambria" w:hAnsi="Cambria"/>
          <w:color w:val="000000"/>
          <w:sz w:val="21"/>
          <w:szCs w:val="21"/>
        </w:rPr>
        <w:t>Încărcătura pe judecător materii non-penale 2017</w:t>
      </w:r>
    </w:p>
    <w:tbl>
      <w:tblPr>
        <w:tblW w:w="5000" w:type="pct"/>
        <w:tblCellSpacing w:w="7" w:type="dxa"/>
        <w:tblCellMar>
          <w:left w:w="0" w:type="dxa"/>
          <w:right w:w="0" w:type="dxa"/>
        </w:tblCellMar>
        <w:tblLook w:val="04A0" w:firstRow="1" w:lastRow="0" w:firstColumn="1" w:lastColumn="0" w:noHBand="0" w:noVBand="1"/>
      </w:tblPr>
      <w:tblGrid>
        <w:gridCol w:w="9100"/>
      </w:tblGrid>
      <w:tr w:rsidR="00310853">
        <w:trPr>
          <w:tblCellSpacing w:w="7" w:type="dxa"/>
        </w:trPr>
        <w:tc>
          <w:tcPr>
            <w:tcW w:w="0" w:type="auto"/>
            <w:vAlign w:val="center"/>
            <w:hideMark/>
          </w:tcPr>
          <w:p w:rsidR="00310853" w:rsidRDefault="00310853">
            <w:pPr>
              <w:rPr>
                <w:rFonts w:ascii="Cambria" w:hAnsi="Cambria"/>
                <w:color w:val="000000"/>
                <w:sz w:val="21"/>
                <w:szCs w:val="21"/>
              </w:rPr>
            </w:pPr>
          </w:p>
        </w:tc>
      </w:tr>
      <w:tr w:rsidR="0031085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10853">
              <w:trPr>
                <w:tblCellSpacing w:w="0" w:type="dxa"/>
              </w:trPr>
              <w:tc>
                <w:tcPr>
                  <w:tcW w:w="0" w:type="auto"/>
                  <w:vAlign w:val="center"/>
                  <w:hideMark/>
                </w:tcPr>
                <w:p w:rsidR="00310853" w:rsidRDefault="00310853">
                  <w:pPr>
                    <w:rPr>
                      <w:rFonts w:ascii="Cambria" w:hAnsi="Cambria"/>
                      <w:color w:val="000000"/>
                      <w:sz w:val="21"/>
                      <w:szCs w:val="21"/>
                    </w:rPr>
                  </w:pPr>
                </w:p>
              </w:tc>
            </w:tr>
            <w:tr w:rsidR="0031085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1085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310853">
                          <w:trPr>
                            <w:tblCellSpacing w:w="0" w:type="dxa"/>
                          </w:trPr>
                          <w:tc>
                            <w:tcPr>
                              <w:tcW w:w="0" w:type="auto"/>
                              <w:vAlign w:val="center"/>
                              <w:hideMark/>
                            </w:tcPr>
                            <w:p w:rsidR="00310853"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3" name="Imagine 1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10853" w:rsidRDefault="00310853">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310853"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4" name="Imagine 1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10853" w:rsidRDefault="0031085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310853">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ADITIONAT</w:t>
                              </w:r>
                            </w:p>
                          </w:tc>
                        </w:tr>
                        <w:tr w:rsidR="00310853">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0000"/>
                                  <w:sz w:val="21"/>
                                  <w:szCs w:val="21"/>
                                </w:rPr>
                              </w:pPr>
                              <w:r>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00FF"/>
                                  <w:sz w:val="21"/>
                                  <w:szCs w:val="21"/>
                                </w:rPr>
                              </w:pPr>
                              <w:r>
                                <w:rPr>
                                  <w:rFonts w:ascii="Cambria" w:hAnsi="Cambria"/>
                                  <w:color w:val="0000FF"/>
                                  <w:sz w:val="21"/>
                                  <w:szCs w:val="21"/>
                                </w:rPr>
                                <w:t>1085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CC0000"/>
                                  <w:sz w:val="21"/>
                                  <w:szCs w:val="21"/>
                                </w:rPr>
                              </w:pPr>
                              <w:r>
                                <w:rPr>
                                  <w:rFonts w:ascii="Cambria" w:hAnsi="Cambria"/>
                                  <w:color w:val="CC0000"/>
                                  <w:sz w:val="21"/>
                                  <w:szCs w:val="21"/>
                                </w:rPr>
                                <w:t>3483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4568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CC0000"/>
                                  <w:sz w:val="21"/>
                                  <w:szCs w:val="21"/>
                                </w:rPr>
                              </w:pPr>
                              <w:r>
                                <w:rPr>
                                  <w:rFonts w:ascii="Cambria" w:hAnsi="Cambria"/>
                                  <w:color w:val="CC0000"/>
                                  <w:sz w:val="21"/>
                                  <w:szCs w:val="21"/>
                                </w:rPr>
                                <w:t>4568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4,7</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741,1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971,9</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971,9</w:t>
                              </w:r>
                            </w:p>
                          </w:tc>
                        </w:tr>
                      </w:tbl>
                      <w:p w:rsidR="00310853" w:rsidRDefault="00310853">
                        <w:pPr>
                          <w:rPr>
                            <w:rFonts w:ascii="Cambria" w:hAnsi="Cambria"/>
                            <w:color w:val="000000"/>
                            <w:sz w:val="21"/>
                            <w:szCs w:val="21"/>
                          </w:rPr>
                        </w:pPr>
                      </w:p>
                    </w:tc>
                  </w:tr>
                </w:tbl>
                <w:p w:rsidR="00310853" w:rsidRDefault="00310853">
                  <w:pPr>
                    <w:rPr>
                      <w:rFonts w:ascii="Cambria" w:hAnsi="Cambria"/>
                      <w:color w:val="000000"/>
                      <w:sz w:val="21"/>
                      <w:szCs w:val="21"/>
                    </w:rPr>
                  </w:pPr>
                </w:p>
              </w:tc>
            </w:tr>
          </w:tbl>
          <w:p w:rsidR="00310853" w:rsidRDefault="00310853">
            <w:pPr>
              <w:rPr>
                <w:rFonts w:ascii="Cambria" w:hAnsi="Cambria"/>
                <w:color w:val="000000"/>
                <w:sz w:val="21"/>
                <w:szCs w:val="21"/>
              </w:rPr>
            </w:pPr>
          </w:p>
        </w:tc>
      </w:tr>
    </w:tbl>
    <w:p w:rsidR="00310853" w:rsidRDefault="00310853" w:rsidP="00310853">
      <w:pPr>
        <w:rPr>
          <w:rFonts w:ascii="Cambria" w:hAnsi="Cambria"/>
          <w:color w:val="000000"/>
          <w:sz w:val="21"/>
          <w:szCs w:val="21"/>
        </w:rPr>
      </w:pPr>
    </w:p>
    <w:p w:rsidR="00310853" w:rsidRDefault="00310853" w:rsidP="00310853">
      <w:pPr>
        <w:jc w:val="both"/>
      </w:pPr>
      <w:r>
        <w:t>Încărcătura pe judecător materia penal 2017</w:t>
      </w:r>
    </w:p>
    <w:tbl>
      <w:tblPr>
        <w:tblW w:w="5000" w:type="pct"/>
        <w:tblCellSpacing w:w="0" w:type="dxa"/>
        <w:tblCellMar>
          <w:left w:w="0" w:type="dxa"/>
          <w:right w:w="0" w:type="dxa"/>
        </w:tblCellMar>
        <w:tblLook w:val="04A0" w:firstRow="1" w:lastRow="0" w:firstColumn="1" w:lastColumn="0" w:noHBand="0" w:noVBand="1"/>
      </w:tblPr>
      <w:tblGrid>
        <w:gridCol w:w="9072"/>
      </w:tblGrid>
      <w:tr w:rsidR="00310853">
        <w:trPr>
          <w:tblCellSpacing w:w="0" w:type="dxa"/>
        </w:trPr>
        <w:tc>
          <w:tcPr>
            <w:tcW w:w="0" w:type="auto"/>
            <w:vAlign w:val="center"/>
            <w:hideMark/>
          </w:tcPr>
          <w:p w:rsidR="00310853" w:rsidRDefault="00310853">
            <w:pPr>
              <w:rPr>
                <w:rFonts w:ascii="Cambria" w:hAnsi="Cambria"/>
                <w:color w:val="000000"/>
                <w:sz w:val="21"/>
                <w:szCs w:val="21"/>
              </w:rPr>
            </w:pPr>
          </w:p>
        </w:tc>
      </w:tr>
      <w:tr w:rsidR="0031085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31085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310853">
                    <w:trPr>
                      <w:tblCellSpacing w:w="0" w:type="dxa"/>
                    </w:trPr>
                    <w:tc>
                      <w:tcPr>
                        <w:tcW w:w="0" w:type="auto"/>
                        <w:vAlign w:val="center"/>
                        <w:hideMark/>
                      </w:tcPr>
                      <w:p w:rsidR="00310853"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5" name="Imagine 15"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310853" w:rsidRDefault="00310853">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310853"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6" name="Imagine 16"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10853" w:rsidRDefault="0031085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310853">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310853">
                    <w:trPr>
                      <w:tblCellSpacing w:w="0" w:type="dxa"/>
                    </w:trPr>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310853" w:rsidRDefault="00310853">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310853" w:rsidRDefault="00310853">
                        <w:pPr>
                          <w:jc w:val="center"/>
                          <w:rPr>
                            <w:rFonts w:ascii="Tahoma" w:hAnsi="Tahoma" w:cs="Tahoma"/>
                            <w:b/>
                            <w:bCs/>
                            <w:color w:val="000000"/>
                            <w:sz w:val="17"/>
                            <w:szCs w:val="17"/>
                          </w:rPr>
                        </w:pPr>
                        <w:r>
                          <w:rPr>
                            <w:rFonts w:ascii="Tahoma" w:hAnsi="Tahoma" w:cs="Tahoma"/>
                            <w:b/>
                            <w:bCs/>
                            <w:color w:val="000000"/>
                            <w:sz w:val="17"/>
                            <w:szCs w:val="17"/>
                          </w:rPr>
                          <w:t>ADITIONAT</w:t>
                        </w:r>
                      </w:p>
                    </w:tc>
                  </w:tr>
                  <w:tr w:rsidR="00310853">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0000"/>
                            <w:sz w:val="21"/>
                            <w:szCs w:val="21"/>
                          </w:rPr>
                        </w:pPr>
                        <w:r>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00FF"/>
                            <w:sz w:val="21"/>
                            <w:szCs w:val="21"/>
                          </w:rPr>
                        </w:pPr>
                        <w:r>
                          <w:rPr>
                            <w:rFonts w:ascii="Cambria" w:hAnsi="Cambria"/>
                            <w:color w:val="0000FF"/>
                            <w:sz w:val="21"/>
                            <w:szCs w:val="21"/>
                          </w:rPr>
                          <w:t>361</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CC0000"/>
                            <w:sz w:val="21"/>
                            <w:szCs w:val="21"/>
                          </w:rPr>
                        </w:pPr>
                        <w:r>
                          <w:rPr>
                            <w:rFonts w:ascii="Cambria" w:hAnsi="Cambria"/>
                            <w:color w:val="CC0000"/>
                            <w:sz w:val="21"/>
                            <w:szCs w:val="21"/>
                          </w:rPr>
                          <w:t>1065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1426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CC0000"/>
                            <w:sz w:val="21"/>
                            <w:szCs w:val="21"/>
                          </w:rPr>
                        </w:pPr>
                        <w:r>
                          <w:rPr>
                            <w:rFonts w:ascii="Cambria" w:hAnsi="Cambria"/>
                            <w:color w:val="CC0000"/>
                            <w:sz w:val="21"/>
                            <w:szCs w:val="21"/>
                          </w:rPr>
                          <w:t>1426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4,6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231,5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310,0</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310853" w:rsidRDefault="00310853">
                        <w:pPr>
                          <w:jc w:val="center"/>
                          <w:rPr>
                            <w:rFonts w:ascii="Cambria" w:hAnsi="Cambria"/>
                            <w:color w:val="008000"/>
                            <w:sz w:val="21"/>
                            <w:szCs w:val="21"/>
                          </w:rPr>
                        </w:pPr>
                        <w:r>
                          <w:rPr>
                            <w:rFonts w:ascii="Cambria" w:hAnsi="Cambria"/>
                            <w:color w:val="008000"/>
                            <w:sz w:val="21"/>
                            <w:szCs w:val="21"/>
                          </w:rPr>
                          <w:t>310,0</w:t>
                        </w:r>
                      </w:p>
                    </w:tc>
                  </w:tr>
                </w:tbl>
                <w:p w:rsidR="00310853" w:rsidRDefault="00310853">
                  <w:pPr>
                    <w:rPr>
                      <w:rFonts w:ascii="Cambria" w:hAnsi="Cambria"/>
                      <w:color w:val="000000"/>
                      <w:sz w:val="21"/>
                      <w:szCs w:val="21"/>
                    </w:rPr>
                  </w:pPr>
                </w:p>
              </w:tc>
            </w:tr>
          </w:tbl>
          <w:p w:rsidR="00310853" w:rsidRDefault="00310853">
            <w:pPr>
              <w:rPr>
                <w:rFonts w:ascii="Cambria" w:hAnsi="Cambria"/>
                <w:color w:val="000000"/>
                <w:sz w:val="21"/>
                <w:szCs w:val="21"/>
              </w:rPr>
            </w:pPr>
          </w:p>
        </w:tc>
      </w:tr>
    </w:tbl>
    <w:p w:rsidR="00BC7A98" w:rsidRDefault="00BC7A98" w:rsidP="004C6762"/>
    <w:p w:rsidR="00E178F9" w:rsidRDefault="00E178F9" w:rsidP="004C6762">
      <w:proofErr w:type="spellStart"/>
      <w:r>
        <w:t>Incărcătura</w:t>
      </w:r>
      <w:proofErr w:type="spellEnd"/>
      <w:r>
        <w:t xml:space="preserve"> pe judecător anul 2016</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E178F9" w:rsidTr="00310853">
        <w:trPr>
          <w:tblCellSpacing w:w="0" w:type="dxa"/>
        </w:trPr>
        <w:tc>
          <w:tcPr>
            <w:tcW w:w="4993" w:type="pct"/>
            <w:shd w:val="clear" w:color="auto" w:fill="153E6C"/>
            <w:noWrap/>
            <w:tcMar>
              <w:top w:w="15" w:type="dxa"/>
              <w:left w:w="15" w:type="dxa"/>
              <w:bottom w:w="15" w:type="dxa"/>
              <w:right w:w="15" w:type="dxa"/>
            </w:tcMar>
            <w:vAlign w:val="center"/>
            <w:hideMark/>
          </w:tcPr>
          <w:p w:rsidR="00E178F9" w:rsidRDefault="00E178F9">
            <w:pPr>
              <w:jc w:val="center"/>
              <w:rPr>
                <w:rFonts w:ascii="Tahoma" w:hAnsi="Tahoma" w:cs="Tahoma"/>
                <w:b/>
                <w:bCs/>
                <w:color w:val="F9F9F9"/>
                <w:sz w:val="17"/>
                <w:szCs w:val="17"/>
              </w:rPr>
            </w:pPr>
          </w:p>
        </w:tc>
        <w:tc>
          <w:tcPr>
            <w:tcW w:w="0" w:type="auto"/>
            <w:vAlign w:val="center"/>
            <w:hideMark/>
          </w:tcPr>
          <w:p w:rsidR="00E178F9"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7" name="Imagine 1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E178F9" w:rsidRDefault="00E178F9" w:rsidP="00E178F9">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1"/>
        <w:gridCol w:w="2076"/>
        <w:gridCol w:w="1144"/>
        <w:gridCol w:w="745"/>
        <w:gridCol w:w="692"/>
        <w:gridCol w:w="956"/>
        <w:gridCol w:w="870"/>
        <w:gridCol w:w="814"/>
        <w:gridCol w:w="813"/>
        <w:gridCol w:w="941"/>
      </w:tblGrid>
      <w:tr w:rsidR="00E178F9">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ADITIONAT</w:t>
            </w:r>
          </w:p>
        </w:tc>
      </w:tr>
      <w:tr w:rsidR="00E178F9">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rsidP="00E178F9">
            <w:pPr>
              <w:rPr>
                <w:rFonts w:ascii="Cambria" w:hAnsi="Cambria"/>
                <w:color w:val="000000"/>
                <w:sz w:val="21"/>
                <w:szCs w:val="21"/>
              </w:rPr>
            </w:pP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00FF"/>
                <w:sz w:val="21"/>
                <w:szCs w:val="21"/>
              </w:rPr>
            </w:pPr>
            <w:r>
              <w:rPr>
                <w:rFonts w:ascii="Cambria" w:hAnsi="Cambria"/>
                <w:color w:val="0000FF"/>
                <w:sz w:val="21"/>
                <w:szCs w:val="21"/>
              </w:rPr>
              <w:t>1099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CC0000"/>
                <w:sz w:val="21"/>
                <w:szCs w:val="21"/>
              </w:rPr>
            </w:pPr>
            <w:r>
              <w:rPr>
                <w:rFonts w:ascii="Cambria" w:hAnsi="Cambria"/>
                <w:color w:val="CC0000"/>
                <w:sz w:val="21"/>
                <w:szCs w:val="21"/>
              </w:rPr>
              <w:t>5526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6625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CC0000"/>
                <w:sz w:val="21"/>
                <w:szCs w:val="21"/>
              </w:rPr>
            </w:pPr>
            <w:r>
              <w:rPr>
                <w:rFonts w:ascii="Cambria" w:hAnsi="Cambria"/>
                <w:color w:val="CC0000"/>
                <w:sz w:val="21"/>
                <w:szCs w:val="21"/>
              </w:rPr>
              <w:t>6625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5,9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936,6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1122,9</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1122,9</w:t>
            </w:r>
          </w:p>
        </w:tc>
      </w:tr>
      <w:tr w:rsidR="00E178F9">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p w:rsidR="00E178F9" w:rsidRDefault="00E178F9">
            <w:pPr>
              <w:jc w:val="right"/>
              <w:rPr>
                <w:rFonts w:ascii="Cambria" w:hAnsi="Cambria"/>
                <w:color w:val="000000"/>
                <w:sz w:val="21"/>
                <w:szCs w:val="21"/>
              </w:rPr>
            </w:pPr>
          </w:p>
        </w:tc>
      </w:tr>
    </w:tbl>
    <w:p w:rsidR="00B17923" w:rsidRDefault="00B17923"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491FD0" w:rsidRDefault="00491FD0" w:rsidP="00E178F9">
      <w:pPr>
        <w:rPr>
          <w:rFonts w:ascii="Cambria" w:hAnsi="Cambria"/>
          <w:color w:val="000000"/>
          <w:sz w:val="21"/>
          <w:szCs w:val="21"/>
        </w:rPr>
      </w:pPr>
    </w:p>
    <w:p w:rsidR="00E178F9" w:rsidRDefault="00E178F9" w:rsidP="00E178F9">
      <w:pPr>
        <w:rPr>
          <w:rFonts w:ascii="Cambria" w:hAnsi="Cambria"/>
          <w:color w:val="000000"/>
          <w:sz w:val="21"/>
          <w:szCs w:val="21"/>
        </w:rPr>
      </w:pPr>
      <w:r>
        <w:rPr>
          <w:rFonts w:ascii="Cambria" w:hAnsi="Cambria"/>
          <w:color w:val="000000"/>
          <w:sz w:val="21"/>
          <w:szCs w:val="21"/>
        </w:rPr>
        <w:lastRenderedPageBreak/>
        <w:t>Încă</w:t>
      </w:r>
      <w:r w:rsidR="00B17923">
        <w:rPr>
          <w:rFonts w:ascii="Cambria" w:hAnsi="Cambria"/>
          <w:color w:val="000000"/>
          <w:sz w:val="21"/>
          <w:szCs w:val="21"/>
        </w:rPr>
        <w:t>r</w:t>
      </w:r>
      <w:r>
        <w:rPr>
          <w:rFonts w:ascii="Cambria" w:hAnsi="Cambria"/>
          <w:color w:val="000000"/>
          <w:sz w:val="21"/>
          <w:szCs w:val="21"/>
        </w:rPr>
        <w:t>cătura pe judecător materii non-penale 2016</w:t>
      </w:r>
    </w:p>
    <w:p w:rsidR="00310853" w:rsidRDefault="00310853" w:rsidP="00E178F9">
      <w:pPr>
        <w:rPr>
          <w:rFonts w:ascii="Cambria" w:hAnsi="Cambria"/>
          <w:color w:val="000000"/>
          <w:sz w:val="21"/>
          <w:szCs w:val="21"/>
        </w:rPr>
      </w:pPr>
    </w:p>
    <w:p w:rsidR="00E178F9" w:rsidRDefault="00E178F9" w:rsidP="00E178F9">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1"/>
        <w:gridCol w:w="2076"/>
        <w:gridCol w:w="1144"/>
        <w:gridCol w:w="745"/>
        <w:gridCol w:w="692"/>
        <w:gridCol w:w="956"/>
        <w:gridCol w:w="870"/>
        <w:gridCol w:w="814"/>
        <w:gridCol w:w="813"/>
        <w:gridCol w:w="941"/>
      </w:tblGrid>
      <w:tr w:rsidR="00E178F9">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p>
          <w:p w:rsidR="00E178F9" w:rsidRDefault="00E178F9">
            <w:pPr>
              <w:jc w:val="center"/>
              <w:rPr>
                <w:rFonts w:ascii="Tahoma" w:hAnsi="Tahoma" w:cs="Tahoma"/>
                <w:b/>
                <w:bCs/>
                <w:color w:val="000000"/>
                <w:sz w:val="17"/>
                <w:szCs w:val="17"/>
              </w:rPr>
            </w:pP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ADITIONAT</w:t>
            </w:r>
          </w:p>
        </w:tc>
      </w:tr>
      <w:tr w:rsidR="00E178F9">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0000"/>
                <w:sz w:val="21"/>
                <w:szCs w:val="21"/>
              </w:rPr>
            </w:pP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00FF"/>
                <w:sz w:val="21"/>
                <w:szCs w:val="21"/>
              </w:rPr>
            </w:pPr>
            <w:r>
              <w:rPr>
                <w:rFonts w:ascii="Cambria" w:hAnsi="Cambria"/>
                <w:color w:val="0000FF"/>
                <w:sz w:val="21"/>
                <w:szCs w:val="21"/>
              </w:rPr>
              <w:t>1009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CC0000"/>
                <w:sz w:val="21"/>
                <w:szCs w:val="21"/>
              </w:rPr>
            </w:pPr>
            <w:r>
              <w:rPr>
                <w:rFonts w:ascii="Cambria" w:hAnsi="Cambria"/>
                <w:color w:val="CC0000"/>
                <w:sz w:val="21"/>
                <w:szCs w:val="21"/>
              </w:rPr>
              <w:t>4321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5330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CC0000"/>
                <w:sz w:val="21"/>
                <w:szCs w:val="21"/>
              </w:rPr>
            </w:pPr>
            <w:r>
              <w:rPr>
                <w:rFonts w:ascii="Cambria" w:hAnsi="Cambria"/>
                <w:color w:val="CC0000"/>
                <w:sz w:val="21"/>
                <w:szCs w:val="21"/>
              </w:rPr>
              <w:t>5330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5,9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732,4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903,4</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903,4</w:t>
            </w:r>
          </w:p>
        </w:tc>
      </w:tr>
    </w:tbl>
    <w:p w:rsidR="00E178F9" w:rsidRDefault="00E178F9" w:rsidP="0025640B">
      <w:pPr>
        <w:ind w:firstLine="708"/>
        <w:jc w:val="both"/>
      </w:pPr>
    </w:p>
    <w:p w:rsidR="00E178F9" w:rsidRDefault="00E178F9" w:rsidP="00E178F9">
      <w:pPr>
        <w:jc w:val="both"/>
      </w:pPr>
      <w:r>
        <w:t>Încărcătura pe judecător materia penal 2016</w:t>
      </w:r>
    </w:p>
    <w:p w:rsidR="00310853" w:rsidRDefault="00310853" w:rsidP="00E178F9">
      <w:pPr>
        <w:jc w:val="both"/>
      </w:pP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E178F9">
        <w:trPr>
          <w:tblCellSpacing w:w="0" w:type="dxa"/>
        </w:trPr>
        <w:tc>
          <w:tcPr>
            <w:tcW w:w="5000" w:type="pct"/>
            <w:shd w:val="clear" w:color="auto" w:fill="153E6C"/>
            <w:noWrap/>
            <w:tcMar>
              <w:top w:w="15" w:type="dxa"/>
              <w:left w:w="15" w:type="dxa"/>
              <w:bottom w:w="15" w:type="dxa"/>
              <w:right w:w="15" w:type="dxa"/>
            </w:tcMar>
            <w:vAlign w:val="center"/>
            <w:hideMark/>
          </w:tcPr>
          <w:p w:rsidR="00E178F9" w:rsidRDefault="00E178F9">
            <w:pPr>
              <w:jc w:val="center"/>
              <w:rPr>
                <w:rFonts w:ascii="Tahoma" w:hAnsi="Tahoma" w:cs="Tahoma"/>
                <w:b/>
                <w:bCs/>
                <w:color w:val="F9F9F9"/>
                <w:sz w:val="17"/>
                <w:szCs w:val="17"/>
              </w:rPr>
            </w:pPr>
          </w:p>
        </w:tc>
        <w:tc>
          <w:tcPr>
            <w:tcW w:w="0" w:type="auto"/>
            <w:vAlign w:val="center"/>
            <w:hideMark/>
          </w:tcPr>
          <w:p w:rsidR="00E178F9"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8" name="Imagine 18"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E178F9" w:rsidRDefault="00E178F9" w:rsidP="00E178F9">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9"/>
        <w:gridCol w:w="1071"/>
        <w:gridCol w:w="699"/>
        <w:gridCol w:w="649"/>
        <w:gridCol w:w="895"/>
        <w:gridCol w:w="815"/>
        <w:gridCol w:w="763"/>
        <w:gridCol w:w="762"/>
        <w:gridCol w:w="880"/>
      </w:tblGrid>
      <w:tr w:rsidR="00E178F9">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E178F9">
        <w:trPr>
          <w:tblCellSpacing w:w="0" w:type="dxa"/>
        </w:trPr>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E178F9" w:rsidRDefault="00E178F9">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E178F9" w:rsidRDefault="00E178F9">
            <w:pPr>
              <w:jc w:val="center"/>
              <w:rPr>
                <w:rFonts w:ascii="Tahoma" w:hAnsi="Tahoma" w:cs="Tahoma"/>
                <w:b/>
                <w:bCs/>
                <w:color w:val="000000"/>
                <w:sz w:val="17"/>
                <w:szCs w:val="17"/>
              </w:rPr>
            </w:pPr>
            <w:r>
              <w:rPr>
                <w:rFonts w:ascii="Tahoma" w:hAnsi="Tahoma" w:cs="Tahoma"/>
                <w:b/>
                <w:bCs/>
                <w:color w:val="000000"/>
                <w:sz w:val="17"/>
                <w:szCs w:val="17"/>
              </w:rPr>
              <w:t>ADITIONAT</w:t>
            </w:r>
          </w:p>
        </w:tc>
      </w:tr>
      <w:tr w:rsidR="00E178F9">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0000"/>
                <w:sz w:val="21"/>
                <w:szCs w:val="21"/>
              </w:rPr>
            </w:pPr>
            <w:r>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00FF"/>
                <w:sz w:val="21"/>
                <w:szCs w:val="21"/>
              </w:rPr>
            </w:pPr>
            <w:r>
              <w:rPr>
                <w:rFonts w:ascii="Cambria" w:hAnsi="Cambria"/>
                <w:color w:val="0000FF"/>
                <w:sz w:val="21"/>
                <w:szCs w:val="21"/>
              </w:rPr>
              <w:t>90</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CC0000"/>
                <w:sz w:val="21"/>
                <w:szCs w:val="21"/>
              </w:rPr>
            </w:pPr>
            <w:r>
              <w:rPr>
                <w:rFonts w:ascii="Cambria" w:hAnsi="Cambria"/>
                <w:color w:val="CC0000"/>
                <w:sz w:val="21"/>
                <w:szCs w:val="21"/>
              </w:rPr>
              <w:t>1205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1295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CC0000"/>
                <w:sz w:val="21"/>
                <w:szCs w:val="21"/>
              </w:rPr>
            </w:pPr>
            <w:r>
              <w:rPr>
                <w:rFonts w:ascii="Cambria" w:hAnsi="Cambria"/>
                <w:color w:val="CC0000"/>
                <w:sz w:val="21"/>
                <w:szCs w:val="21"/>
              </w:rPr>
              <w:t>1295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5,3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227,4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244,3</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E178F9" w:rsidRDefault="00E178F9">
            <w:pPr>
              <w:jc w:val="center"/>
              <w:rPr>
                <w:rFonts w:ascii="Cambria" w:hAnsi="Cambria"/>
                <w:color w:val="008000"/>
                <w:sz w:val="21"/>
                <w:szCs w:val="21"/>
              </w:rPr>
            </w:pPr>
            <w:r>
              <w:rPr>
                <w:rFonts w:ascii="Cambria" w:hAnsi="Cambria"/>
                <w:color w:val="008000"/>
                <w:sz w:val="21"/>
                <w:szCs w:val="21"/>
              </w:rPr>
              <w:t>244,3</w:t>
            </w:r>
          </w:p>
        </w:tc>
      </w:tr>
    </w:tbl>
    <w:p w:rsidR="00E178F9" w:rsidRDefault="00E178F9" w:rsidP="0025640B">
      <w:pPr>
        <w:ind w:firstLine="708"/>
        <w:jc w:val="both"/>
      </w:pPr>
    </w:p>
    <w:p w:rsidR="00B17923" w:rsidRDefault="00B17923" w:rsidP="00B17923">
      <w:pPr>
        <w:spacing w:line="360" w:lineRule="auto"/>
        <w:ind w:firstLine="708"/>
        <w:jc w:val="both"/>
      </w:pPr>
      <w:r>
        <w:t>În ceea ce privește dosarele rulate si indice</w:t>
      </w:r>
      <w:r w:rsidR="00491FD0">
        <w:t>le</w:t>
      </w:r>
      <w:r>
        <w:t xml:space="preserve"> de alocare, datele extrase din </w:t>
      </w:r>
      <w:proofErr w:type="spellStart"/>
      <w:r>
        <w:t>Statis</w:t>
      </w:r>
      <w:proofErr w:type="spellEnd"/>
      <w:r>
        <w:t xml:space="preserve"> pentru anul 2017 sunt următoarele :</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B17923" w:rsidTr="005F11F2">
        <w:trPr>
          <w:tblCellSpacing w:w="0" w:type="dxa"/>
        </w:trPr>
        <w:tc>
          <w:tcPr>
            <w:tcW w:w="5000" w:type="pct"/>
            <w:shd w:val="clear" w:color="auto" w:fill="153E6C"/>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F9F9F9"/>
                <w:sz w:val="17"/>
                <w:szCs w:val="17"/>
              </w:rPr>
            </w:pPr>
          </w:p>
        </w:tc>
        <w:tc>
          <w:tcPr>
            <w:tcW w:w="0" w:type="auto"/>
            <w:vAlign w:val="center"/>
            <w:hideMark/>
          </w:tcPr>
          <w:p w:rsidR="00B17923" w:rsidRDefault="00491FD0" w:rsidP="005F11F2">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9" name="Imagine 19"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17923" w:rsidRDefault="00B17923" w:rsidP="00B1792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1"/>
        <w:gridCol w:w="2148"/>
        <w:gridCol w:w="1030"/>
        <w:gridCol w:w="1160"/>
        <w:gridCol w:w="891"/>
        <w:gridCol w:w="1160"/>
        <w:gridCol w:w="1982"/>
      </w:tblGrid>
      <w:tr w:rsidR="00B17923" w:rsidTr="005F11F2">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rPr>
                <w:rFonts w:ascii="Tahoma" w:hAnsi="Tahoma" w:cs="Tahoma"/>
                <w:b/>
                <w:bCs/>
                <w:color w:val="000000"/>
                <w:sz w:val="17"/>
                <w:szCs w:val="17"/>
              </w:rPr>
            </w:pPr>
            <w:r>
              <w:rPr>
                <w:rFonts w:ascii="Tahoma" w:hAnsi="Tahoma" w:cs="Tahoma"/>
                <w:b/>
                <w:bCs/>
                <w:color w:val="000000"/>
                <w:sz w:val="17"/>
                <w:szCs w:val="17"/>
              </w:rPr>
              <w:t>TIP INSTANTA</w:t>
            </w:r>
          </w:p>
        </w:tc>
        <w:tc>
          <w:tcPr>
            <w:tcW w:w="12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MEDIE LUNARA</w:t>
            </w:r>
            <w:r>
              <w:rPr>
                <w:rFonts w:ascii="Tahoma" w:hAnsi="Tahoma" w:cs="Tahoma"/>
                <w:b/>
                <w:bCs/>
                <w:color w:val="000000"/>
                <w:sz w:val="17"/>
                <w:szCs w:val="17"/>
              </w:rPr>
              <w:br/>
              <w:t>PARTICIPARE SEDINTA</w:t>
            </w:r>
          </w:p>
        </w:tc>
        <w:tc>
          <w:tcPr>
            <w:tcW w:w="12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MEDIE LUNARA</w:t>
            </w:r>
            <w:r>
              <w:rPr>
                <w:rFonts w:ascii="Tahoma" w:hAnsi="Tahoma" w:cs="Tahoma"/>
                <w:b/>
                <w:bCs/>
                <w:color w:val="000000"/>
                <w:sz w:val="17"/>
                <w:szCs w:val="17"/>
              </w:rPr>
              <w:br/>
              <w:t>DOSARE RULATE</w:t>
            </w:r>
          </w:p>
        </w:tc>
        <w:tc>
          <w:tcPr>
            <w:tcW w:w="6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INDICE ALOCARE</w:t>
            </w:r>
            <w:r>
              <w:rPr>
                <w:rFonts w:ascii="Tahoma" w:hAnsi="Tahoma" w:cs="Tahoma"/>
                <w:b/>
                <w:bCs/>
                <w:color w:val="000000"/>
                <w:sz w:val="17"/>
                <w:szCs w:val="17"/>
              </w:rPr>
              <w:br/>
              <w:t>GREFIERI-JUDECATOR</w:t>
            </w:r>
            <w:r>
              <w:rPr>
                <w:rFonts w:ascii="Tahoma" w:hAnsi="Tahoma" w:cs="Tahoma"/>
                <w:b/>
                <w:bCs/>
                <w:color w:val="000000"/>
                <w:sz w:val="17"/>
                <w:szCs w:val="17"/>
              </w:rPr>
              <w:br/>
              <w:t>SEDINTA</w:t>
            </w:r>
          </w:p>
        </w:tc>
      </w:tr>
      <w:tr w:rsidR="00B17923" w:rsidTr="005F11F2">
        <w:trPr>
          <w:tblCellSpacing w:w="0" w:type="dxa"/>
        </w:trPr>
        <w:tc>
          <w:tcPr>
            <w:tcW w:w="0" w:type="auto"/>
            <w:vMerge/>
            <w:tcBorders>
              <w:bottom w:val="single" w:sz="6" w:space="0" w:color="FFFFFF"/>
            </w:tcBorders>
            <w:vAlign w:val="center"/>
            <w:hideMark/>
          </w:tcPr>
          <w:p w:rsidR="00B17923" w:rsidRDefault="00B17923" w:rsidP="005F11F2">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17923" w:rsidRDefault="00B17923" w:rsidP="005F11F2">
            <w:pPr>
              <w:rPr>
                <w:rFonts w:ascii="Tahoma" w:hAnsi="Tahoma" w:cs="Tahoma"/>
                <w:b/>
                <w:bCs/>
                <w:color w:val="000000"/>
                <w:sz w:val="17"/>
                <w:szCs w:val="17"/>
              </w:rPr>
            </w:pP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GREFIERI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JUDECATORI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GREFIERI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JUDECATORI</w:t>
            </w:r>
          </w:p>
        </w:tc>
        <w:tc>
          <w:tcPr>
            <w:tcW w:w="0" w:type="auto"/>
            <w:vMerge/>
            <w:tcBorders>
              <w:bottom w:val="single" w:sz="6" w:space="0" w:color="FFFFFF"/>
            </w:tcBorders>
            <w:vAlign w:val="center"/>
            <w:hideMark/>
          </w:tcPr>
          <w:p w:rsidR="00B17923" w:rsidRDefault="00B17923" w:rsidP="005F11F2">
            <w:pPr>
              <w:rPr>
                <w:rFonts w:ascii="Tahoma" w:hAnsi="Tahoma" w:cs="Tahoma"/>
                <w:b/>
                <w:bCs/>
                <w:color w:val="000000"/>
                <w:sz w:val="17"/>
                <w:szCs w:val="17"/>
              </w:rPr>
            </w:pPr>
          </w:p>
        </w:tc>
      </w:tr>
      <w:tr w:rsidR="00B17923" w:rsidTr="005F11F2">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rPr>
                <w:rFonts w:ascii="Cambria" w:hAnsi="Cambria"/>
                <w:color w:val="000000"/>
                <w:sz w:val="21"/>
                <w:szCs w:val="21"/>
              </w:rPr>
            </w:pPr>
            <w:r>
              <w:rPr>
                <w:rFonts w:ascii="Cambria" w:hAnsi="Cambria"/>
                <w:color w:val="000000"/>
                <w:sz w:val="21"/>
                <w:szCs w:val="21"/>
              </w:rPr>
              <w:t>Judecatoria VANJU MARE</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00FF"/>
                <w:sz w:val="21"/>
                <w:szCs w:val="21"/>
              </w:rPr>
            </w:pPr>
            <w:r>
              <w:rPr>
                <w:rFonts w:ascii="Cambria" w:hAnsi="Cambria"/>
                <w:color w:val="0000FF"/>
                <w:sz w:val="21"/>
                <w:szCs w:val="21"/>
              </w:rPr>
              <w:t>6,9</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CC0000"/>
                <w:sz w:val="21"/>
                <w:szCs w:val="21"/>
              </w:rPr>
            </w:pPr>
            <w:r>
              <w:rPr>
                <w:rFonts w:ascii="Cambria" w:hAnsi="Cambria"/>
                <w:color w:val="CC0000"/>
                <w:sz w:val="21"/>
                <w:szCs w:val="21"/>
              </w:rPr>
              <w:t>4,8</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00FF"/>
                <w:sz w:val="21"/>
                <w:szCs w:val="21"/>
              </w:rPr>
            </w:pPr>
            <w:r>
              <w:rPr>
                <w:rFonts w:ascii="Cambria" w:hAnsi="Cambria"/>
                <w:color w:val="0000FF"/>
                <w:sz w:val="21"/>
                <w:szCs w:val="21"/>
              </w:rPr>
              <w:t>101,32</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CC0000"/>
                <w:sz w:val="21"/>
                <w:szCs w:val="21"/>
              </w:rPr>
            </w:pPr>
            <w:r>
              <w:rPr>
                <w:rFonts w:ascii="Cambria" w:hAnsi="Cambria"/>
                <w:color w:val="CC0000"/>
                <w:sz w:val="21"/>
                <w:szCs w:val="21"/>
              </w:rPr>
              <w:t>153,87</w:t>
            </w:r>
          </w:p>
        </w:tc>
        <w:tc>
          <w:tcPr>
            <w:tcW w:w="600" w:type="pct"/>
            <w:tcBorders>
              <w:bottom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8000"/>
                <w:sz w:val="21"/>
                <w:szCs w:val="21"/>
              </w:rPr>
            </w:pPr>
            <w:r>
              <w:rPr>
                <w:rFonts w:ascii="Cambria" w:hAnsi="Cambria"/>
                <w:color w:val="008000"/>
                <w:sz w:val="21"/>
                <w:szCs w:val="21"/>
              </w:rPr>
              <w:t>1,44</w:t>
            </w:r>
          </w:p>
        </w:tc>
      </w:tr>
    </w:tbl>
    <w:p w:rsidR="00B17923" w:rsidRDefault="00B17923" w:rsidP="00B17923">
      <w:pPr>
        <w:spacing w:line="360" w:lineRule="auto"/>
        <w:ind w:firstLine="708"/>
        <w:jc w:val="both"/>
      </w:pPr>
    </w:p>
    <w:p w:rsidR="00B17923" w:rsidRDefault="00B17923" w:rsidP="00B17923">
      <w:pPr>
        <w:spacing w:line="360" w:lineRule="auto"/>
        <w:ind w:firstLine="708"/>
        <w:jc w:val="both"/>
      </w:pPr>
      <w:r>
        <w:t>Încărcătură dosare/grefier pentru anul 2017 este următoarea:</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B17923" w:rsidTr="00B17923">
        <w:trPr>
          <w:tblCellSpacing w:w="0" w:type="dxa"/>
        </w:trPr>
        <w:tc>
          <w:tcPr>
            <w:tcW w:w="4993" w:type="pct"/>
            <w:shd w:val="clear" w:color="auto" w:fill="153E6C"/>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F9F9F9"/>
                <w:sz w:val="17"/>
                <w:szCs w:val="17"/>
              </w:rPr>
            </w:pPr>
          </w:p>
        </w:tc>
        <w:tc>
          <w:tcPr>
            <w:tcW w:w="0" w:type="auto"/>
            <w:vAlign w:val="center"/>
            <w:hideMark/>
          </w:tcPr>
          <w:p w:rsidR="00B17923" w:rsidRDefault="00491FD0" w:rsidP="005F11F2">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0" name="Imagine 2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17923" w:rsidRDefault="00B17923" w:rsidP="00B1792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6"/>
        <w:gridCol w:w="2020"/>
        <w:gridCol w:w="1114"/>
        <w:gridCol w:w="726"/>
        <w:gridCol w:w="1284"/>
        <w:gridCol w:w="847"/>
        <w:gridCol w:w="1186"/>
        <w:gridCol w:w="1269"/>
      </w:tblGrid>
      <w:tr w:rsidR="00B17923" w:rsidTr="005F11F2">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ORDINE</w:t>
            </w:r>
          </w:p>
        </w:tc>
        <w:tc>
          <w:tcPr>
            <w:tcW w:w="19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rPr>
                <w:rFonts w:ascii="Tahoma" w:hAnsi="Tahoma" w:cs="Tahoma"/>
                <w:b/>
                <w:bCs/>
                <w:color w:val="000000"/>
                <w:sz w:val="17"/>
                <w:szCs w:val="17"/>
              </w:rPr>
            </w:pPr>
            <w:r>
              <w:rPr>
                <w:rFonts w:ascii="Tahoma" w:hAnsi="Tahoma" w:cs="Tahoma"/>
                <w:b/>
                <w:bCs/>
                <w:color w:val="000000"/>
                <w:sz w:val="17"/>
                <w:szCs w:val="17"/>
              </w:rPr>
              <w:t>DENUMIRE JUDECATORIE</w:t>
            </w:r>
          </w:p>
        </w:tc>
        <w:tc>
          <w:tcPr>
            <w:tcW w:w="2700" w:type="pct"/>
            <w:gridSpan w:val="6"/>
            <w:tcBorders>
              <w:bottom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B17923" w:rsidTr="005F11F2">
        <w:trPr>
          <w:tblCellSpacing w:w="0" w:type="dxa"/>
        </w:trPr>
        <w:tc>
          <w:tcPr>
            <w:tcW w:w="0" w:type="auto"/>
            <w:vMerge/>
            <w:tcBorders>
              <w:bottom w:val="single" w:sz="6" w:space="0" w:color="FFFFFF"/>
            </w:tcBorders>
            <w:vAlign w:val="center"/>
            <w:hideMark/>
          </w:tcPr>
          <w:p w:rsidR="00B17923" w:rsidRDefault="00B17923" w:rsidP="005F11F2">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17923" w:rsidRDefault="00B17923" w:rsidP="005F11F2">
            <w:pPr>
              <w:rPr>
                <w:rFonts w:ascii="Tahoma" w:hAnsi="Tahoma" w:cs="Tahoma"/>
                <w:b/>
                <w:bCs/>
                <w:color w:val="000000"/>
                <w:sz w:val="17"/>
                <w:szCs w:val="17"/>
              </w:rPr>
            </w:pP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INTRATE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VOLUM EFECTIV</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PREZENTA</w:t>
            </w:r>
          </w:p>
        </w:tc>
        <w:tc>
          <w:tcPr>
            <w:tcW w:w="9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B17923" w:rsidTr="005F11F2">
        <w:trPr>
          <w:tblCellSpacing w:w="0" w:type="dxa"/>
        </w:trPr>
        <w:tc>
          <w:tcPr>
            <w:tcW w:w="0" w:type="auto"/>
            <w:vMerge/>
            <w:tcBorders>
              <w:bottom w:val="single" w:sz="6" w:space="0" w:color="FFFFFF"/>
            </w:tcBorders>
            <w:vAlign w:val="center"/>
            <w:hideMark/>
          </w:tcPr>
          <w:p w:rsidR="00B17923" w:rsidRDefault="00B17923" w:rsidP="005F11F2">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17923" w:rsidRDefault="00B17923" w:rsidP="005F11F2">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17923" w:rsidRDefault="00B17923" w:rsidP="005F11F2">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17923" w:rsidRDefault="00B17923" w:rsidP="005F11F2">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17923" w:rsidRDefault="00B17923" w:rsidP="005F11F2">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17923" w:rsidRDefault="00B17923" w:rsidP="005F11F2">
            <w:pPr>
              <w:rPr>
                <w:rFonts w:ascii="Tahoma" w:hAnsi="Tahoma" w:cs="Tahoma"/>
                <w:b/>
                <w:bCs/>
                <w:color w:val="000000"/>
                <w:sz w:val="17"/>
                <w:szCs w:val="17"/>
              </w:rPr>
            </w:pP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INTRATE</w:t>
            </w: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B17923" w:rsidRDefault="00B17923" w:rsidP="005F11F2">
            <w:pPr>
              <w:jc w:val="center"/>
              <w:rPr>
                <w:rFonts w:ascii="Tahoma" w:hAnsi="Tahoma" w:cs="Tahoma"/>
                <w:b/>
                <w:bCs/>
                <w:color w:val="000000"/>
                <w:sz w:val="17"/>
                <w:szCs w:val="17"/>
              </w:rPr>
            </w:pPr>
            <w:r>
              <w:rPr>
                <w:rFonts w:ascii="Tahoma" w:hAnsi="Tahoma" w:cs="Tahoma"/>
                <w:b/>
                <w:bCs/>
                <w:color w:val="000000"/>
                <w:sz w:val="17"/>
                <w:szCs w:val="17"/>
              </w:rPr>
              <w:t>VOLUM EFECTIV</w:t>
            </w:r>
          </w:p>
        </w:tc>
      </w:tr>
      <w:tr w:rsidR="00B17923" w:rsidTr="005F11F2">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0000"/>
                <w:sz w:val="21"/>
                <w:szCs w:val="21"/>
              </w:rPr>
            </w:pPr>
            <w:r>
              <w:rPr>
                <w:rFonts w:ascii="Cambria" w:hAnsi="Cambria"/>
                <w:color w:val="000000"/>
                <w:sz w:val="21"/>
                <w:szCs w:val="21"/>
              </w:rPr>
              <w:t>1</w:t>
            </w:r>
          </w:p>
        </w:tc>
        <w:tc>
          <w:tcPr>
            <w:tcW w:w="19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rPr>
                <w:rFonts w:ascii="Cambria" w:hAnsi="Cambria"/>
                <w:color w:val="000000"/>
                <w:sz w:val="21"/>
                <w:szCs w:val="21"/>
              </w:rPr>
            </w:pPr>
            <w:r>
              <w:rPr>
                <w:rFonts w:ascii="Cambria" w:hAnsi="Cambria"/>
                <w:color w:val="000000"/>
                <w:sz w:val="21"/>
                <w:szCs w:val="21"/>
              </w:rPr>
              <w:t>Judecatoria VANJU MARE</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00FF"/>
                <w:sz w:val="21"/>
                <w:szCs w:val="21"/>
              </w:rPr>
            </w:pPr>
            <w:r>
              <w:rPr>
                <w:rFonts w:ascii="Cambria" w:hAnsi="Cambria"/>
                <w:color w:val="0000FF"/>
                <w:sz w:val="21"/>
                <w:szCs w:val="21"/>
              </w:rPr>
              <w:t>1446</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CC0000"/>
                <w:sz w:val="21"/>
                <w:szCs w:val="21"/>
              </w:rPr>
            </w:pPr>
            <w:r>
              <w:rPr>
                <w:rFonts w:ascii="Cambria" w:hAnsi="Cambria"/>
                <w:color w:val="CC0000"/>
                <w:sz w:val="21"/>
                <w:szCs w:val="21"/>
              </w:rPr>
              <w:t>4548</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8000"/>
                <w:sz w:val="21"/>
                <w:szCs w:val="21"/>
              </w:rPr>
            </w:pPr>
            <w:r>
              <w:rPr>
                <w:rFonts w:ascii="Cambria" w:hAnsi="Cambria"/>
                <w:color w:val="008000"/>
                <w:sz w:val="21"/>
                <w:szCs w:val="21"/>
              </w:rPr>
              <w:t>5994</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8000"/>
                <w:sz w:val="21"/>
                <w:szCs w:val="21"/>
              </w:rPr>
            </w:pPr>
            <w:r>
              <w:rPr>
                <w:rFonts w:ascii="Cambria" w:hAnsi="Cambria"/>
                <w:color w:val="008000"/>
                <w:sz w:val="21"/>
                <w:szCs w:val="21"/>
              </w:rPr>
              <w:t>6,9</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8000"/>
                <w:sz w:val="21"/>
                <w:szCs w:val="21"/>
              </w:rPr>
            </w:pPr>
            <w:r>
              <w:rPr>
                <w:rFonts w:ascii="Cambria" w:hAnsi="Cambria"/>
                <w:color w:val="008000"/>
                <w:sz w:val="21"/>
                <w:szCs w:val="21"/>
              </w:rPr>
              <w:t>659,1</w:t>
            </w:r>
          </w:p>
        </w:tc>
        <w:tc>
          <w:tcPr>
            <w:tcW w:w="450" w:type="pct"/>
            <w:tcBorders>
              <w:bottom w:val="single" w:sz="6" w:space="0" w:color="FFFFFF"/>
            </w:tcBorders>
            <w:shd w:val="clear" w:color="auto" w:fill="F0F0F0"/>
            <w:tcMar>
              <w:top w:w="15" w:type="dxa"/>
              <w:left w:w="15" w:type="dxa"/>
              <w:bottom w:w="15" w:type="dxa"/>
              <w:right w:w="15" w:type="dxa"/>
            </w:tcMar>
            <w:vAlign w:val="center"/>
            <w:hideMark/>
          </w:tcPr>
          <w:p w:rsidR="00B17923" w:rsidRDefault="00B17923" w:rsidP="005F11F2">
            <w:pPr>
              <w:jc w:val="center"/>
              <w:rPr>
                <w:rFonts w:ascii="Cambria" w:hAnsi="Cambria"/>
                <w:color w:val="008000"/>
                <w:sz w:val="21"/>
                <w:szCs w:val="21"/>
              </w:rPr>
            </w:pPr>
            <w:r>
              <w:rPr>
                <w:rFonts w:ascii="Cambria" w:hAnsi="Cambria"/>
                <w:color w:val="008000"/>
                <w:sz w:val="21"/>
                <w:szCs w:val="21"/>
              </w:rPr>
              <w:t>868,7</w:t>
            </w:r>
          </w:p>
        </w:tc>
      </w:tr>
    </w:tbl>
    <w:p w:rsidR="00B17923" w:rsidRDefault="00B17923" w:rsidP="00FA5C96">
      <w:pPr>
        <w:spacing w:line="360" w:lineRule="auto"/>
        <w:ind w:firstLine="708"/>
        <w:jc w:val="both"/>
      </w:pPr>
    </w:p>
    <w:p w:rsidR="004C6762" w:rsidRDefault="004C6762" w:rsidP="00FA5C96">
      <w:pPr>
        <w:spacing w:line="360" w:lineRule="auto"/>
        <w:ind w:firstLine="708"/>
        <w:jc w:val="both"/>
      </w:pPr>
      <w:r>
        <w:t>La Judecătoria</w:t>
      </w:r>
      <w:r w:rsidR="0025640B">
        <w:t xml:space="preserve"> Vânju Mare </w:t>
      </w:r>
      <w:r>
        <w:tab/>
        <w:t>au fost rezolvate problemele privind managementul</w:t>
      </w:r>
    </w:p>
    <w:p w:rsidR="004C6762" w:rsidRDefault="004C6762" w:rsidP="00FA5C96">
      <w:pPr>
        <w:spacing w:line="360" w:lineRule="auto"/>
        <w:jc w:val="both"/>
      </w:pPr>
      <w:r>
        <w:t>acesteia, prin eficientizarea şi fluidizarea activităţii, stabilirea completelor, programarea în şedinţe atât a judecătorilor cât şi a grefierilor, planificarea permanenţelor, a judecătorului de se</w:t>
      </w:r>
      <w:r w:rsidR="0025640B">
        <w:t>r</w:t>
      </w:r>
      <w:r>
        <w:t>viciu, precum şi activitatea administrativă necesară bunei funcţionări a judecătoriei.</w:t>
      </w:r>
    </w:p>
    <w:p w:rsidR="004C6762" w:rsidRDefault="004C6762" w:rsidP="00FA5C96">
      <w:pPr>
        <w:spacing w:line="360" w:lineRule="auto"/>
        <w:ind w:firstLine="708"/>
        <w:jc w:val="both"/>
      </w:pPr>
      <w:r>
        <w:t>In acest sens, preşedintele instanţei a repartizat personalul în compartimentele auxiliare şi a organizat, coordonat şi controlat activitatea acestuia, împreună cu grefierul şef, care a supravegheat şi verificat lucrările întocmite de personalul auxiliar de specialitate, precum şi cu judecătorii desemnaţi sau delegaţi pe compartimente/birouri.</w:t>
      </w:r>
    </w:p>
    <w:p w:rsidR="00084E53" w:rsidRDefault="00084E53" w:rsidP="00084E53">
      <w:pPr>
        <w:spacing w:line="360" w:lineRule="auto"/>
        <w:ind w:firstLine="708"/>
        <w:jc w:val="both"/>
      </w:pPr>
      <w:r w:rsidRPr="0033132C">
        <w:lastRenderedPageBreak/>
        <w:t>În cee</w:t>
      </w:r>
      <w:r w:rsidR="00BB65FB">
        <w:t xml:space="preserve">a ce priveşte judecătorii care și-au desfășurat </w:t>
      </w:r>
      <w:r w:rsidRPr="0033132C">
        <w:t>activitatea la Judecătoria Vânju-Mare</w:t>
      </w:r>
      <w:r w:rsidR="00BB65FB">
        <w:t xml:space="preserve"> în nul 2017, aceștia au fost în număr de </w:t>
      </w:r>
      <w:r>
        <w:t>5</w:t>
      </w:r>
      <w:r w:rsidRPr="0033132C">
        <w:t xml:space="preserve"> judecători</w:t>
      </w:r>
      <w:r>
        <w:t xml:space="preserve"> deși organigrama prevede un număr de 7 judecători. D</w:t>
      </w:r>
      <w:r w:rsidRPr="0033132C">
        <w:t xml:space="preserve">intre </w:t>
      </w:r>
      <w:r>
        <w:t xml:space="preserve">aceștia un judecător este stagiar, unul este delegat de la Tribunalul Mehedinți </w:t>
      </w:r>
      <w:r w:rsidRPr="0033132C">
        <w:t>din cauza deficitului de judecători în raport cu numărul de dosare înregistrate pe rolul instanţei</w:t>
      </w:r>
      <w:r>
        <w:t xml:space="preserve"> și un judecător ocupă funcția de conducere.</w:t>
      </w:r>
    </w:p>
    <w:p w:rsidR="002D0317" w:rsidRDefault="002D0317" w:rsidP="002D0317">
      <w:pPr>
        <w:ind w:firstLine="708"/>
        <w:jc w:val="center"/>
        <w:rPr>
          <w:noProof/>
        </w:rPr>
      </w:pPr>
    </w:p>
    <w:p w:rsidR="004C6762" w:rsidRPr="00DE5252" w:rsidRDefault="0052166F" w:rsidP="0052166F">
      <w:pPr>
        <w:spacing w:line="360" w:lineRule="auto"/>
        <w:jc w:val="both"/>
        <w:rPr>
          <w:b/>
        </w:rPr>
      </w:pPr>
      <w:r>
        <w:tab/>
      </w:r>
      <w:r w:rsidR="004C6762" w:rsidRPr="00DE5252">
        <w:rPr>
          <w:b/>
        </w:rPr>
        <w:t>I.</w:t>
      </w:r>
      <w:r w:rsidR="00A77C9C">
        <w:rPr>
          <w:b/>
        </w:rPr>
        <w:t>3</w:t>
      </w:r>
      <w:r w:rsidR="004C6762" w:rsidRPr="00DE5252">
        <w:rPr>
          <w:b/>
        </w:rPr>
        <w:t xml:space="preserve">. </w:t>
      </w:r>
      <w:r w:rsidR="00A77C9C">
        <w:rPr>
          <w:b/>
        </w:rPr>
        <w:t>Indicatori de eficiență</w:t>
      </w:r>
    </w:p>
    <w:p w:rsidR="003D2F2D" w:rsidRPr="004B1D2C" w:rsidRDefault="003D2F2D" w:rsidP="004B1D2C">
      <w:pPr>
        <w:spacing w:line="360" w:lineRule="auto"/>
        <w:ind w:firstLine="708"/>
        <w:jc w:val="both"/>
      </w:pPr>
      <w:r w:rsidRPr="004B1D2C">
        <w:t>Indicatorii de performanţă instituiţi în vederea măsurării eficienţei activităţii instanţelor sunt următorii :</w:t>
      </w:r>
    </w:p>
    <w:p w:rsidR="003D2F2D" w:rsidRPr="004B1D2C" w:rsidRDefault="003D2F2D" w:rsidP="004B1D2C">
      <w:pPr>
        <w:spacing w:line="360" w:lineRule="auto"/>
        <w:jc w:val="both"/>
      </w:pPr>
      <w:r w:rsidRPr="004B1D2C">
        <w:t>a)</w:t>
      </w:r>
      <w:r w:rsidRPr="004B1D2C">
        <w:tab/>
        <w:t>Rata de soluţionare a dosarelor (operativitatea) calculată exclusiv în raport de dosarele nou intrate - reprezintă raportul dintre dosarele nou intrate în perioada de referinţă şi dosarele finalizate în aceeaşi perioadă de referinţă, exprimat procentual;</w:t>
      </w:r>
    </w:p>
    <w:p w:rsidR="003D2F2D" w:rsidRPr="004B1D2C" w:rsidRDefault="003D2F2D" w:rsidP="004B1D2C">
      <w:pPr>
        <w:spacing w:line="360" w:lineRule="auto"/>
        <w:jc w:val="both"/>
      </w:pPr>
      <w:r w:rsidRPr="004B1D2C">
        <w:t>b)</w:t>
      </w:r>
      <w:r w:rsidRPr="004B1D2C">
        <w:tab/>
        <w:t>Stocul de dosare - se calculează ca fiind suma dosarelor aflate pe rol la finele perioadei de referinţă şi nefinalizate, mai vechi de 1 an pentru curţile de apel şi de 1 an şi 6 luni pentru celelalte instanţe;</w:t>
      </w:r>
    </w:p>
    <w:p w:rsidR="003D2F2D" w:rsidRPr="004B1D2C" w:rsidRDefault="003D2F2D" w:rsidP="004B1D2C">
      <w:pPr>
        <w:spacing w:line="360" w:lineRule="auto"/>
        <w:jc w:val="both"/>
      </w:pPr>
      <w:r w:rsidRPr="004B1D2C">
        <w:t>c)</w:t>
      </w:r>
      <w:r w:rsidRPr="004B1D2C">
        <w:tab/>
        <w:t>Ponderea dosarelor închise într-un an - reprezintă suma dosarelor finalizate în termen de mai puţin de 1 an de !a înregistrare raportată la suma tuturor dosarelor soluţionate în perioada de referinţă, exprimată procentual;</w:t>
      </w:r>
    </w:p>
    <w:p w:rsidR="003D2F2D" w:rsidRPr="004B1D2C" w:rsidRDefault="003D2F2D" w:rsidP="004B1D2C">
      <w:pPr>
        <w:spacing w:line="360" w:lineRule="auto"/>
        <w:jc w:val="both"/>
      </w:pPr>
      <w:r w:rsidRPr="004B1D2C">
        <w:t xml:space="preserve"> d)</w:t>
      </w:r>
      <w:r w:rsidRPr="004B1D2C">
        <w:tab/>
        <w:t>Durata medie de soluţionare, pe materii sau obiecte (numai pentru stadiul procesual fond şi mai puţin pentru curţile de apel) - reprezintă timpul mediu scurs între data înregistrării dosarului şi data închiderii documentului final;</w:t>
      </w:r>
    </w:p>
    <w:p w:rsidR="003D2F2D" w:rsidRPr="004B1D2C" w:rsidRDefault="003D2F2D" w:rsidP="004B1D2C">
      <w:pPr>
        <w:spacing w:line="360" w:lineRule="auto"/>
        <w:jc w:val="both"/>
      </w:pPr>
      <w:r w:rsidRPr="004B1D2C">
        <w:t>e)</w:t>
      </w:r>
      <w:r w:rsidRPr="004B1D2C">
        <w:tab/>
        <w:t>Redactările peste termenul legal - reprezintă procentul instanţei respective de redactare peste termen a dosarelor finalizate cu document de tip final Hotărâre.</w:t>
      </w:r>
    </w:p>
    <w:p w:rsidR="003D2F2D" w:rsidRPr="004B1D2C" w:rsidRDefault="003D2F2D" w:rsidP="004B1D2C">
      <w:pPr>
        <w:spacing w:line="360" w:lineRule="auto"/>
        <w:ind w:firstLine="708"/>
        <w:jc w:val="both"/>
      </w:pPr>
      <w:r w:rsidRPr="004B1D2C">
        <w:t>Se va prezenta grafic rezultatul cumulării celor 5 indicatori de eficienţă a activităţii instanţei în perioada analizată, astfel cum reiese acesta din aplicaţia STATIS şi anume:</w:t>
      </w:r>
    </w:p>
    <w:p w:rsidR="004C6762" w:rsidRPr="004B1D2C" w:rsidRDefault="003D2F2D" w:rsidP="004B1D2C">
      <w:pPr>
        <w:spacing w:line="360" w:lineRule="auto"/>
        <w:ind w:firstLine="708"/>
      </w:pPr>
      <w:r w:rsidRPr="004B1D2C">
        <w:rPr>
          <w:b/>
        </w:rPr>
        <w:t>E1. Rata de soluţionare a dosarelor</w:t>
      </w:r>
      <w:r w:rsidRPr="004B1D2C">
        <w:t xml:space="preserve"> (operativitatea) calculată exclusiv în raport de dosarele nou intrate </w:t>
      </w:r>
    </w:p>
    <w:p w:rsidR="003D2F2D" w:rsidRPr="002D5F8C" w:rsidRDefault="005F65C8" w:rsidP="002D5F8C">
      <w:pPr>
        <w:spacing w:line="360" w:lineRule="auto"/>
        <w:ind w:firstLine="708"/>
      </w:pPr>
      <w:r w:rsidRPr="002D5F8C">
        <w:t>În perioada de referinţă, 01.01.201</w:t>
      </w:r>
      <w:r w:rsidR="002D5F8C">
        <w:t>7</w:t>
      </w:r>
      <w:r w:rsidRPr="002D5F8C">
        <w:t xml:space="preserve"> – 31.12.201</w:t>
      </w:r>
      <w:r w:rsidR="002D5F8C">
        <w:t>7</w:t>
      </w:r>
      <w:r w:rsidRPr="002D5F8C">
        <w:t xml:space="preserve">, instanţa a înregistrat un număr de </w:t>
      </w:r>
      <w:r w:rsidR="002D5F8C">
        <w:t>4548</w:t>
      </w:r>
      <w:r w:rsidRPr="002D5F8C">
        <w:t xml:space="preserve"> dosare nou intrate şi un număr de</w:t>
      </w:r>
      <w:r w:rsidR="002D5F8C">
        <w:t xml:space="preserve"> 4826</w:t>
      </w:r>
      <w:r w:rsidRPr="002D5F8C">
        <w:t xml:space="preserve"> dosare soluţionate, având valoare indicator de 10</w:t>
      </w:r>
      <w:r w:rsidR="002D5F8C">
        <w:t>6</w:t>
      </w:r>
      <w:r w:rsidRPr="002D5F8C">
        <w:t>,</w:t>
      </w:r>
      <w:r w:rsidR="002D5F8C">
        <w:t>1</w:t>
      </w:r>
      <w:r w:rsidRPr="002D5F8C">
        <w:t>%, încadrându-se la acest indicator în gradul "</w:t>
      </w:r>
      <w:r w:rsidR="002D5F8C">
        <w:t xml:space="preserve"> </w:t>
      </w:r>
      <w:r w:rsidR="002D5F8C" w:rsidRPr="002D5F8C">
        <w:rPr>
          <w:b/>
        </w:rPr>
        <w:t>foarte</w:t>
      </w:r>
      <w:r w:rsidR="002D5F8C">
        <w:t xml:space="preserve"> </w:t>
      </w:r>
      <w:r w:rsidRPr="002D5F8C">
        <w:rPr>
          <w:b/>
          <w:bCs/>
        </w:rPr>
        <w:t>eficient</w:t>
      </w:r>
      <w:r w:rsidR="002D5F8C">
        <w:t>".</w:t>
      </w:r>
    </w:p>
    <w:p w:rsidR="003D2F2D" w:rsidRDefault="003D2F2D" w:rsidP="003D2F2D">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A77C9C">
        <w:trPr>
          <w:tblCellSpacing w:w="0" w:type="dxa"/>
        </w:trPr>
        <w:tc>
          <w:tcPr>
            <w:tcW w:w="5000" w:type="pct"/>
            <w:shd w:val="clear" w:color="auto" w:fill="153E6C"/>
            <w:noWrap/>
            <w:tcMar>
              <w:top w:w="15" w:type="dxa"/>
              <w:left w:w="15" w:type="dxa"/>
              <w:bottom w:w="15" w:type="dxa"/>
              <w:right w:w="15" w:type="dxa"/>
            </w:tcMar>
            <w:vAlign w:val="center"/>
            <w:hideMark/>
          </w:tcPr>
          <w:p w:rsidR="00A77C9C" w:rsidRDefault="00A77C9C">
            <w:pPr>
              <w:jc w:val="center"/>
              <w:rPr>
                <w:rFonts w:ascii="Tahoma" w:hAnsi="Tahoma" w:cs="Tahoma"/>
                <w:b/>
                <w:bCs/>
                <w:color w:val="F9F9F9"/>
                <w:sz w:val="17"/>
                <w:szCs w:val="17"/>
              </w:rPr>
            </w:pPr>
          </w:p>
        </w:tc>
        <w:tc>
          <w:tcPr>
            <w:tcW w:w="0" w:type="auto"/>
            <w:vAlign w:val="center"/>
            <w:hideMark/>
          </w:tcPr>
          <w:p w:rsidR="00A77C9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1" name="Imagine 2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A77C9C" w:rsidRDefault="00A77C9C" w:rsidP="00A77C9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5"/>
        <w:gridCol w:w="2024"/>
        <w:gridCol w:w="538"/>
        <w:gridCol w:w="963"/>
        <w:gridCol w:w="727"/>
        <w:gridCol w:w="538"/>
        <w:gridCol w:w="1077"/>
        <w:gridCol w:w="947"/>
        <w:gridCol w:w="420"/>
        <w:gridCol w:w="405"/>
        <w:gridCol w:w="405"/>
        <w:gridCol w:w="403"/>
      </w:tblGrid>
      <w:tr w:rsidR="00A77C9C">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rPr>
                <w:rFonts w:ascii="Tahoma" w:hAnsi="Tahoma" w:cs="Tahoma"/>
                <w:b/>
                <w:bCs/>
                <w:color w:val="000000"/>
                <w:sz w:val="17"/>
                <w:szCs w:val="17"/>
              </w:rPr>
            </w:pPr>
            <w:r>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A77C9C">
        <w:trPr>
          <w:tblCellSpacing w:w="0" w:type="dxa"/>
        </w:trPr>
        <w:tc>
          <w:tcPr>
            <w:tcW w:w="0" w:type="auto"/>
            <w:vMerge/>
            <w:tcBorders>
              <w:bottom w:val="single" w:sz="6" w:space="0" w:color="FFFFFF"/>
            </w:tcBorders>
            <w:vAlign w:val="center"/>
            <w:hideMark/>
          </w:tcPr>
          <w:p w:rsidR="00A77C9C" w:rsidRDefault="00A77C9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7C9C" w:rsidRDefault="00A77C9C">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RAPORTAT</w:t>
            </w:r>
            <w:r>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A77C9C" w:rsidRDefault="00A77C9C">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A77C9C" w:rsidRDefault="00A77C9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A77C9C" w:rsidRDefault="00A77C9C">
            <w:pPr>
              <w:jc w:val="center"/>
              <w:rPr>
                <w:rFonts w:ascii="Tahoma" w:hAnsi="Tahoma" w:cs="Tahoma"/>
                <w:b/>
                <w:bCs/>
                <w:color w:val="000000"/>
                <w:sz w:val="17"/>
                <w:szCs w:val="17"/>
              </w:rPr>
            </w:pPr>
            <w:r>
              <w:rPr>
                <w:rFonts w:ascii="Tahoma" w:hAnsi="Tahoma" w:cs="Tahoma"/>
                <w:b/>
                <w:bCs/>
                <w:color w:val="000000"/>
                <w:sz w:val="17"/>
                <w:szCs w:val="17"/>
              </w:rPr>
              <w:t>I</w:t>
            </w:r>
          </w:p>
        </w:tc>
      </w:tr>
      <w:tr w:rsidR="00A77C9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rPr>
                <w:rFonts w:ascii="Cambria" w:hAnsi="Cambria"/>
                <w:color w:val="000000"/>
                <w:sz w:val="21"/>
                <w:szCs w:val="21"/>
              </w:rPr>
            </w:pPr>
            <w:r>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00"/>
                <w:sz w:val="21"/>
                <w:szCs w:val="21"/>
              </w:rPr>
            </w:pPr>
            <w:r>
              <w:rPr>
                <w:rFonts w:ascii="Cambria" w:hAnsi="Cambria"/>
                <w:color w:val="000000"/>
                <w:sz w:val="21"/>
                <w:szCs w:val="21"/>
              </w:rPr>
              <w:t>1446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FF"/>
                <w:sz w:val="21"/>
                <w:szCs w:val="21"/>
              </w:rPr>
            </w:pPr>
            <w:r>
              <w:rPr>
                <w:rFonts w:ascii="Cambria" w:hAnsi="Cambria"/>
                <w:color w:val="0000FF"/>
                <w:sz w:val="21"/>
                <w:szCs w:val="21"/>
              </w:rPr>
              <w:t>31,8%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00"/>
                <w:sz w:val="21"/>
                <w:szCs w:val="21"/>
              </w:rPr>
            </w:pPr>
            <w:r>
              <w:rPr>
                <w:rFonts w:ascii="Cambria" w:hAnsi="Cambria"/>
                <w:color w:val="000000"/>
                <w:sz w:val="21"/>
                <w:szCs w:val="21"/>
              </w:rPr>
              <w:t>4548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00"/>
                <w:sz w:val="21"/>
                <w:szCs w:val="21"/>
              </w:rPr>
            </w:pPr>
            <w:r>
              <w:rPr>
                <w:rFonts w:ascii="Cambria" w:hAnsi="Cambria"/>
                <w:color w:val="000000"/>
                <w:sz w:val="21"/>
                <w:szCs w:val="21"/>
              </w:rPr>
              <w:t>4826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8000"/>
                <w:sz w:val="21"/>
                <w:szCs w:val="21"/>
              </w:rPr>
            </w:pPr>
            <w:r>
              <w:rPr>
                <w:rFonts w:ascii="Cambria" w:hAnsi="Cambria"/>
                <w:color w:val="008000"/>
                <w:sz w:val="21"/>
                <w:szCs w:val="21"/>
              </w:rPr>
              <w:t>76,9%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CC0000"/>
                <w:sz w:val="21"/>
                <w:szCs w:val="21"/>
              </w:rPr>
            </w:pPr>
            <w:r>
              <w:rPr>
                <w:rFonts w:ascii="Cambria" w:hAnsi="Cambria"/>
                <w:color w:val="CC0000"/>
                <w:sz w:val="21"/>
                <w:szCs w:val="21"/>
              </w:rPr>
              <w:t>106,1%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59"/>
            </w:tblGrid>
            <w:tr w:rsidR="00A77C9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7C9C" w:rsidRDefault="00A77C9C">
                  <w:pPr>
                    <w:rPr>
                      <w:rFonts w:ascii="Cambria" w:hAnsi="Cambria"/>
                      <w:color w:val="000000"/>
                      <w:sz w:val="12"/>
                      <w:szCs w:val="12"/>
                    </w:rPr>
                  </w:pPr>
                  <w:r>
                    <w:rPr>
                      <w:rFonts w:ascii="Cambria" w:hAnsi="Cambria"/>
                      <w:color w:val="000000"/>
                      <w:sz w:val="12"/>
                      <w:szCs w:val="12"/>
                    </w:rPr>
                    <w:t> </w:t>
                  </w:r>
                </w:p>
              </w:tc>
            </w:tr>
          </w:tbl>
          <w:p w:rsidR="00A77C9C" w:rsidRDefault="00A77C9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A77C9C" w:rsidRDefault="00A77C9C">
            <w:pPr>
              <w:jc w:val="center"/>
              <w:rPr>
                <w:rFonts w:ascii="Cambria" w:hAnsi="Cambria"/>
                <w:color w:val="000000"/>
                <w:sz w:val="21"/>
                <w:szCs w:val="21"/>
              </w:rPr>
            </w:pPr>
            <w:r>
              <w:rPr>
                <w:rFonts w:ascii="Cambria" w:hAnsi="Cambria"/>
                <w:color w:val="000000"/>
                <w:sz w:val="21"/>
                <w:szCs w:val="21"/>
              </w:rPr>
              <w:t> </w:t>
            </w:r>
          </w:p>
        </w:tc>
      </w:tr>
    </w:tbl>
    <w:p w:rsidR="00A77C9C" w:rsidRDefault="00A77C9C" w:rsidP="004B1D2C">
      <w:pPr>
        <w:spacing w:line="360" w:lineRule="auto"/>
        <w:ind w:firstLine="708"/>
      </w:pPr>
    </w:p>
    <w:p w:rsidR="004C6762" w:rsidRPr="002D5F8C" w:rsidRDefault="004C6762" w:rsidP="004B1D2C">
      <w:pPr>
        <w:spacing w:line="360" w:lineRule="auto"/>
        <w:ind w:firstLine="708"/>
        <w:rPr>
          <w:b/>
        </w:rPr>
      </w:pPr>
      <w:r w:rsidRPr="004B1D2C">
        <w:lastRenderedPageBreak/>
        <w:t>Astfel, activitatea Judecătoriei</w:t>
      </w:r>
      <w:r w:rsidR="003D2F2D" w:rsidRPr="004B1D2C">
        <w:t xml:space="preserve"> </w:t>
      </w:r>
      <w:proofErr w:type="spellStart"/>
      <w:r w:rsidR="003D2F2D" w:rsidRPr="004B1D2C">
        <w:t>Judecătoriei</w:t>
      </w:r>
      <w:proofErr w:type="spellEnd"/>
      <w:r w:rsidR="003D2F2D" w:rsidRPr="004B1D2C">
        <w:t xml:space="preserve"> Vânju Mare</w:t>
      </w:r>
      <w:r w:rsidRPr="004B1D2C">
        <w:t xml:space="preserve"> în anul 201</w:t>
      </w:r>
      <w:r w:rsidR="002D5F8C">
        <w:t>7</w:t>
      </w:r>
      <w:r w:rsidRPr="004B1D2C">
        <w:t xml:space="preserve"> din perspectiva acestui</w:t>
      </w:r>
      <w:r w:rsidR="004B1D2C" w:rsidRPr="004B1D2C">
        <w:t xml:space="preserve"> </w:t>
      </w:r>
      <w:r w:rsidR="003D2F2D" w:rsidRPr="004B1D2C">
        <w:t>indicator de eficienţă în materiile non-penale</w:t>
      </w:r>
      <w:r w:rsidRPr="004B1D2C">
        <w:t xml:space="preserve"> este</w:t>
      </w:r>
      <w:r w:rsidR="003A0A88" w:rsidRPr="004B1D2C">
        <w:t xml:space="preserve"> de </w:t>
      </w:r>
      <w:r w:rsidR="002D5F8C">
        <w:t>104</w:t>
      </w:r>
      <w:r w:rsidR="003A0A88" w:rsidRPr="004B1D2C">
        <w:t xml:space="preserve"> % , încadrându-se, la acest indicator în gradul </w:t>
      </w:r>
      <w:r w:rsidR="003A0A88" w:rsidRPr="002D5F8C">
        <w:rPr>
          <w:b/>
        </w:rPr>
        <w:t>„</w:t>
      </w:r>
      <w:r w:rsidR="002D5F8C" w:rsidRPr="002D5F8C">
        <w:rPr>
          <w:b/>
        </w:rPr>
        <w:t>eficient</w:t>
      </w:r>
      <w:r w:rsidR="004B1D2C" w:rsidRPr="002D5F8C">
        <w:rPr>
          <w:b/>
          <w:sz w:val="28"/>
          <w:szCs w:val="28"/>
        </w:rPr>
        <w:t>”</w:t>
      </w:r>
    </w:p>
    <w:p w:rsidR="004C6762" w:rsidRDefault="004C6762" w:rsidP="004C6762"/>
    <w:p w:rsidR="003A0A88" w:rsidRDefault="003A0A88" w:rsidP="003A0A88">
      <w:pPr>
        <w:rPr>
          <w:rFonts w:ascii="Cambria" w:hAnsi="Cambria"/>
          <w:vanish/>
          <w:color w:val="000000"/>
          <w:sz w:val="21"/>
          <w:szCs w:val="21"/>
        </w:rPr>
      </w:pPr>
    </w:p>
    <w:tbl>
      <w:tblPr>
        <w:tblW w:w="5000" w:type="pct"/>
        <w:tblCellSpacing w:w="7" w:type="dxa"/>
        <w:tblCellMar>
          <w:left w:w="0" w:type="dxa"/>
          <w:right w:w="0" w:type="dxa"/>
        </w:tblCellMar>
        <w:tblLook w:val="04A0" w:firstRow="1" w:lastRow="0" w:firstColumn="1" w:lastColumn="0" w:noHBand="0" w:noVBand="1"/>
      </w:tblPr>
      <w:tblGrid>
        <w:gridCol w:w="9100"/>
      </w:tblGrid>
      <w:tr w:rsidR="002D5F8C">
        <w:trPr>
          <w:tblCellSpacing w:w="7" w:type="dxa"/>
        </w:trPr>
        <w:tc>
          <w:tcPr>
            <w:tcW w:w="0" w:type="auto"/>
            <w:vAlign w:val="center"/>
            <w:hideMark/>
          </w:tcPr>
          <w:p w:rsidR="002D5F8C" w:rsidRDefault="002D5F8C">
            <w:pPr>
              <w:rPr>
                <w:rFonts w:ascii="Cambria" w:hAnsi="Cambria"/>
                <w:color w:val="000000"/>
                <w:sz w:val="21"/>
                <w:szCs w:val="21"/>
              </w:rPr>
            </w:pPr>
          </w:p>
        </w:tc>
      </w:tr>
      <w:tr w:rsidR="002D5F8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2D5F8C">
              <w:trPr>
                <w:tblCellSpacing w:w="0" w:type="dxa"/>
              </w:trPr>
              <w:tc>
                <w:tcPr>
                  <w:tcW w:w="0" w:type="auto"/>
                  <w:vAlign w:val="center"/>
                  <w:hideMark/>
                </w:tcPr>
                <w:p w:rsidR="002D5F8C" w:rsidRDefault="002D5F8C">
                  <w:pPr>
                    <w:rPr>
                      <w:rFonts w:ascii="Cambria" w:hAnsi="Cambria"/>
                      <w:color w:val="000000"/>
                      <w:sz w:val="21"/>
                      <w:szCs w:val="21"/>
                    </w:rPr>
                  </w:pPr>
                </w:p>
              </w:tc>
            </w:tr>
            <w:tr w:rsidR="002D5F8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2D5F8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2D5F8C">
                          <w:trPr>
                            <w:tblCellSpacing w:w="0" w:type="dxa"/>
                          </w:trPr>
                          <w:tc>
                            <w:tcPr>
                              <w:tcW w:w="0" w:type="auto"/>
                              <w:vAlign w:val="center"/>
                              <w:hideMark/>
                            </w:tcPr>
                            <w:p w:rsidR="002D5F8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2" name="Imagine 2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2D5F8C" w:rsidRDefault="002D5F8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2D5F8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3" name="Imagine 2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2D5F8C" w:rsidRDefault="002D5F8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3"/>
                          <w:gridCol w:w="2017"/>
                          <w:gridCol w:w="536"/>
                          <w:gridCol w:w="959"/>
                          <w:gridCol w:w="725"/>
                          <w:gridCol w:w="536"/>
                          <w:gridCol w:w="1073"/>
                          <w:gridCol w:w="944"/>
                          <w:gridCol w:w="404"/>
                          <w:gridCol w:w="419"/>
                          <w:gridCol w:w="404"/>
                          <w:gridCol w:w="402"/>
                        </w:tblGrid>
                        <w:tr w:rsidR="002D5F8C">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rPr>
                                  <w:rFonts w:ascii="Tahoma" w:hAnsi="Tahoma" w:cs="Tahoma"/>
                                  <w:b/>
                                  <w:bCs/>
                                  <w:color w:val="000000"/>
                                  <w:sz w:val="17"/>
                                  <w:szCs w:val="17"/>
                                </w:rPr>
                              </w:pPr>
                              <w:r>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2D5F8C">
                          <w:trPr>
                            <w:tblCellSpacing w:w="0" w:type="dxa"/>
                          </w:trPr>
                          <w:tc>
                            <w:tcPr>
                              <w:tcW w:w="0" w:type="auto"/>
                              <w:vMerge/>
                              <w:tcBorders>
                                <w:bottom w:val="single" w:sz="6" w:space="0" w:color="FFFFFF"/>
                              </w:tcBorders>
                              <w:vAlign w:val="center"/>
                              <w:hideMark/>
                            </w:tcPr>
                            <w:p w:rsidR="002D5F8C" w:rsidRDefault="002D5F8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D5F8C" w:rsidRDefault="002D5F8C">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RAPORTAT</w:t>
                              </w:r>
                              <w:r>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2D5F8C" w:rsidRDefault="002D5F8C">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2D5F8C" w:rsidRDefault="002D5F8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I</w:t>
                              </w:r>
                            </w:p>
                          </w:tc>
                        </w:tr>
                        <w:tr w:rsidR="002D5F8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rPr>
                                  <w:rFonts w:ascii="Cambria" w:hAnsi="Cambria"/>
                                  <w:color w:val="000000"/>
                                  <w:sz w:val="21"/>
                                  <w:szCs w:val="21"/>
                                </w:rPr>
                              </w:pPr>
                              <w:r>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1085</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FF"/>
                                  <w:sz w:val="21"/>
                                  <w:szCs w:val="21"/>
                                </w:rPr>
                              </w:pPr>
                              <w:r>
                                <w:rPr>
                                  <w:rFonts w:ascii="Cambria" w:hAnsi="Cambria"/>
                                  <w:color w:val="0000FF"/>
                                  <w:sz w:val="21"/>
                                  <w:szCs w:val="21"/>
                                </w:rPr>
                                <w:t>31,2%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3483</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3624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8000"/>
                                  <w:sz w:val="21"/>
                                  <w:szCs w:val="21"/>
                                </w:rPr>
                              </w:pPr>
                              <w:r>
                                <w:rPr>
                                  <w:rFonts w:ascii="Cambria" w:hAnsi="Cambria"/>
                                  <w:color w:val="008000"/>
                                  <w:sz w:val="21"/>
                                  <w:szCs w:val="21"/>
                                </w:rPr>
                                <w:t>76,0%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CC0000"/>
                                  <w:sz w:val="21"/>
                                  <w:szCs w:val="21"/>
                                </w:rPr>
                              </w:pPr>
                              <w:r>
                                <w:rPr>
                                  <w:rFonts w:ascii="Cambria" w:hAnsi="Cambria"/>
                                  <w:color w:val="CC0000"/>
                                  <w:sz w:val="21"/>
                                  <w:szCs w:val="21"/>
                                </w:rPr>
                                <w:t>104,0%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58"/>
                              </w:tblGrid>
                              <w:tr w:rsidR="002D5F8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2D5F8C" w:rsidRDefault="002D5F8C">
                                    <w:pPr>
                                      <w:rPr>
                                        <w:rFonts w:ascii="Cambria" w:hAnsi="Cambria"/>
                                        <w:color w:val="000000"/>
                                        <w:sz w:val="12"/>
                                        <w:szCs w:val="12"/>
                                      </w:rPr>
                                    </w:pPr>
                                    <w:r>
                                      <w:rPr>
                                        <w:rFonts w:ascii="Cambria" w:hAnsi="Cambria"/>
                                        <w:color w:val="000000"/>
                                        <w:sz w:val="12"/>
                                        <w:szCs w:val="12"/>
                                      </w:rPr>
                                      <w:t> </w:t>
                                    </w:r>
                                  </w:p>
                                </w:tc>
                              </w:tr>
                            </w:tbl>
                            <w:p w:rsidR="002D5F8C" w:rsidRDefault="002D5F8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 </w:t>
                              </w:r>
                            </w:p>
                          </w:tc>
                        </w:tr>
                      </w:tbl>
                      <w:p w:rsidR="002D5F8C" w:rsidRDefault="002D5F8C">
                        <w:pPr>
                          <w:rPr>
                            <w:rFonts w:ascii="Cambria" w:hAnsi="Cambria"/>
                            <w:color w:val="000000"/>
                            <w:sz w:val="21"/>
                            <w:szCs w:val="21"/>
                          </w:rPr>
                        </w:pPr>
                      </w:p>
                    </w:tc>
                  </w:tr>
                </w:tbl>
                <w:p w:rsidR="002D5F8C" w:rsidRDefault="002D5F8C">
                  <w:pPr>
                    <w:rPr>
                      <w:rFonts w:ascii="Cambria" w:hAnsi="Cambria"/>
                      <w:color w:val="000000"/>
                      <w:sz w:val="21"/>
                      <w:szCs w:val="21"/>
                    </w:rPr>
                  </w:pPr>
                </w:p>
              </w:tc>
            </w:tr>
          </w:tbl>
          <w:p w:rsidR="002D5F8C" w:rsidRDefault="002D5F8C">
            <w:pPr>
              <w:rPr>
                <w:rFonts w:ascii="Cambria" w:hAnsi="Cambria"/>
                <w:color w:val="000000"/>
                <w:sz w:val="21"/>
                <w:szCs w:val="21"/>
              </w:rPr>
            </w:pPr>
          </w:p>
        </w:tc>
      </w:tr>
    </w:tbl>
    <w:p w:rsidR="004C6762" w:rsidRPr="004B1D2C" w:rsidRDefault="004C6762" w:rsidP="004B1D2C">
      <w:pPr>
        <w:spacing w:line="360" w:lineRule="auto"/>
      </w:pPr>
    </w:p>
    <w:p w:rsidR="003A0A88" w:rsidRPr="002D5F8C" w:rsidRDefault="003A0A88" w:rsidP="004B1D2C">
      <w:pPr>
        <w:spacing w:line="360" w:lineRule="auto"/>
        <w:ind w:firstLine="708"/>
        <w:rPr>
          <w:b/>
        </w:rPr>
      </w:pPr>
      <w:r w:rsidRPr="004B1D2C">
        <w:t>În anul 201</w:t>
      </w:r>
      <w:r w:rsidR="002D5F8C">
        <w:t>7</w:t>
      </w:r>
      <w:r w:rsidRPr="004B1D2C">
        <w:t xml:space="preserve"> din perspectiva aceluiași indicator de eficienţă în materie penală este de </w:t>
      </w:r>
      <w:r w:rsidR="002D5F8C">
        <w:t>112,9</w:t>
      </w:r>
      <w:r w:rsidRPr="004B1D2C">
        <w:t xml:space="preserve"> % , încadrându-se, la acest indicator în gradul </w:t>
      </w:r>
      <w:r w:rsidRPr="002D5F8C">
        <w:rPr>
          <w:b/>
        </w:rPr>
        <w:t>”</w:t>
      </w:r>
      <w:r w:rsidR="002D5F8C" w:rsidRPr="002D5F8C">
        <w:rPr>
          <w:b/>
        </w:rPr>
        <w:t>foarte eficient</w:t>
      </w:r>
      <w:r w:rsidRPr="002D5F8C">
        <w:rPr>
          <w:b/>
        </w:rPr>
        <w:t>”</w:t>
      </w:r>
    </w:p>
    <w:tbl>
      <w:tblPr>
        <w:tblW w:w="5000" w:type="pct"/>
        <w:tblCellSpacing w:w="7" w:type="dxa"/>
        <w:tblCellMar>
          <w:left w:w="0" w:type="dxa"/>
          <w:right w:w="0" w:type="dxa"/>
        </w:tblCellMar>
        <w:tblLook w:val="04A0" w:firstRow="1" w:lastRow="0" w:firstColumn="1" w:lastColumn="0" w:noHBand="0" w:noVBand="1"/>
      </w:tblPr>
      <w:tblGrid>
        <w:gridCol w:w="9100"/>
      </w:tblGrid>
      <w:tr w:rsidR="002D5F8C">
        <w:trPr>
          <w:tblCellSpacing w:w="7" w:type="dxa"/>
        </w:trPr>
        <w:tc>
          <w:tcPr>
            <w:tcW w:w="0" w:type="auto"/>
            <w:vAlign w:val="center"/>
            <w:hideMark/>
          </w:tcPr>
          <w:p w:rsidR="002D5F8C" w:rsidRDefault="002D5F8C">
            <w:pPr>
              <w:rPr>
                <w:rFonts w:ascii="Cambria" w:hAnsi="Cambria"/>
                <w:color w:val="000000"/>
                <w:sz w:val="21"/>
                <w:szCs w:val="21"/>
              </w:rPr>
            </w:pPr>
          </w:p>
        </w:tc>
      </w:tr>
      <w:tr w:rsidR="002D5F8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2D5F8C">
              <w:trPr>
                <w:tblCellSpacing w:w="0" w:type="dxa"/>
              </w:trPr>
              <w:tc>
                <w:tcPr>
                  <w:tcW w:w="0" w:type="auto"/>
                  <w:vAlign w:val="center"/>
                  <w:hideMark/>
                </w:tcPr>
                <w:p w:rsidR="002D5F8C" w:rsidRDefault="002D5F8C">
                  <w:pPr>
                    <w:rPr>
                      <w:rFonts w:ascii="Cambria" w:hAnsi="Cambria"/>
                      <w:color w:val="000000"/>
                      <w:sz w:val="21"/>
                      <w:szCs w:val="21"/>
                    </w:rPr>
                  </w:pPr>
                </w:p>
              </w:tc>
            </w:tr>
            <w:tr w:rsidR="002D5F8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2D5F8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2D5F8C">
                          <w:trPr>
                            <w:tblCellSpacing w:w="0" w:type="dxa"/>
                          </w:trPr>
                          <w:tc>
                            <w:tcPr>
                              <w:tcW w:w="0" w:type="auto"/>
                              <w:vAlign w:val="center"/>
                              <w:hideMark/>
                            </w:tcPr>
                            <w:p w:rsidR="002D5F8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4" name="Imagine 2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2D5F8C" w:rsidRDefault="002D5F8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2D5F8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5" name="Imagine 25"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2D5F8C" w:rsidRDefault="002D5F8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3"/>
                          <w:gridCol w:w="2017"/>
                          <w:gridCol w:w="536"/>
                          <w:gridCol w:w="959"/>
                          <w:gridCol w:w="725"/>
                          <w:gridCol w:w="536"/>
                          <w:gridCol w:w="1073"/>
                          <w:gridCol w:w="944"/>
                          <w:gridCol w:w="419"/>
                          <w:gridCol w:w="404"/>
                          <w:gridCol w:w="404"/>
                          <w:gridCol w:w="402"/>
                        </w:tblGrid>
                        <w:tr w:rsidR="002D5F8C">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rPr>
                                  <w:rFonts w:ascii="Tahoma" w:hAnsi="Tahoma" w:cs="Tahoma"/>
                                  <w:b/>
                                  <w:bCs/>
                                  <w:color w:val="000000"/>
                                  <w:sz w:val="17"/>
                                  <w:szCs w:val="17"/>
                                </w:rPr>
                              </w:pPr>
                              <w:r>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2D5F8C">
                          <w:trPr>
                            <w:tblCellSpacing w:w="0" w:type="dxa"/>
                          </w:trPr>
                          <w:tc>
                            <w:tcPr>
                              <w:tcW w:w="0" w:type="auto"/>
                              <w:vMerge/>
                              <w:tcBorders>
                                <w:bottom w:val="single" w:sz="6" w:space="0" w:color="FFFFFF"/>
                              </w:tcBorders>
                              <w:vAlign w:val="center"/>
                              <w:hideMark/>
                            </w:tcPr>
                            <w:p w:rsidR="002D5F8C" w:rsidRDefault="002D5F8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2D5F8C" w:rsidRDefault="002D5F8C">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RAPORTAT</w:t>
                              </w:r>
                              <w:r>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2D5F8C" w:rsidRDefault="002D5F8C">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2D5F8C" w:rsidRDefault="002D5F8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2D5F8C" w:rsidRDefault="002D5F8C">
                              <w:pPr>
                                <w:jc w:val="center"/>
                                <w:rPr>
                                  <w:rFonts w:ascii="Tahoma" w:hAnsi="Tahoma" w:cs="Tahoma"/>
                                  <w:b/>
                                  <w:bCs/>
                                  <w:color w:val="000000"/>
                                  <w:sz w:val="17"/>
                                  <w:szCs w:val="17"/>
                                </w:rPr>
                              </w:pPr>
                              <w:r>
                                <w:rPr>
                                  <w:rFonts w:ascii="Tahoma" w:hAnsi="Tahoma" w:cs="Tahoma"/>
                                  <w:b/>
                                  <w:bCs/>
                                  <w:color w:val="000000"/>
                                  <w:sz w:val="17"/>
                                  <w:szCs w:val="17"/>
                                </w:rPr>
                                <w:t>I</w:t>
                              </w:r>
                            </w:p>
                          </w:tc>
                        </w:tr>
                        <w:tr w:rsidR="002D5F8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rPr>
                                  <w:rFonts w:ascii="Cambria" w:hAnsi="Cambria"/>
                                  <w:color w:val="000000"/>
                                  <w:sz w:val="21"/>
                                  <w:szCs w:val="21"/>
                                </w:rPr>
                              </w:pPr>
                              <w:r>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361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FF"/>
                                  <w:sz w:val="21"/>
                                  <w:szCs w:val="21"/>
                                </w:rPr>
                              </w:pPr>
                              <w:r>
                                <w:rPr>
                                  <w:rFonts w:ascii="Cambria" w:hAnsi="Cambria"/>
                                  <w:color w:val="0000FF"/>
                                  <w:sz w:val="21"/>
                                  <w:szCs w:val="21"/>
                                </w:rPr>
                                <w:t>33,9%</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1065</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1202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8000"/>
                                  <w:sz w:val="21"/>
                                  <w:szCs w:val="21"/>
                                </w:rPr>
                              </w:pPr>
                              <w:r>
                                <w:rPr>
                                  <w:rFonts w:ascii="Cambria" w:hAnsi="Cambria"/>
                                  <w:color w:val="008000"/>
                                  <w:sz w:val="21"/>
                                  <w:szCs w:val="21"/>
                                </w:rPr>
                                <w:t>80,0%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CC0000"/>
                                  <w:sz w:val="21"/>
                                  <w:szCs w:val="21"/>
                                </w:rPr>
                              </w:pPr>
                              <w:r>
                                <w:rPr>
                                  <w:rFonts w:ascii="Cambria" w:hAnsi="Cambria"/>
                                  <w:color w:val="CC0000"/>
                                  <w:sz w:val="21"/>
                                  <w:szCs w:val="21"/>
                                </w:rPr>
                                <w:t>112,9%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58"/>
                              </w:tblGrid>
                              <w:tr w:rsidR="002D5F8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2D5F8C" w:rsidRDefault="002D5F8C">
                                    <w:pPr>
                                      <w:rPr>
                                        <w:rFonts w:ascii="Cambria" w:hAnsi="Cambria"/>
                                        <w:color w:val="000000"/>
                                        <w:sz w:val="12"/>
                                        <w:szCs w:val="12"/>
                                      </w:rPr>
                                    </w:pPr>
                                    <w:r>
                                      <w:rPr>
                                        <w:rFonts w:ascii="Cambria" w:hAnsi="Cambria"/>
                                        <w:color w:val="000000"/>
                                        <w:sz w:val="12"/>
                                        <w:szCs w:val="12"/>
                                      </w:rPr>
                                      <w:t> </w:t>
                                    </w:r>
                                  </w:p>
                                </w:tc>
                              </w:tr>
                            </w:tbl>
                            <w:p w:rsidR="002D5F8C" w:rsidRDefault="002D5F8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2D5F8C" w:rsidRDefault="002D5F8C">
                              <w:pPr>
                                <w:jc w:val="center"/>
                                <w:rPr>
                                  <w:rFonts w:ascii="Cambria" w:hAnsi="Cambria"/>
                                  <w:color w:val="000000"/>
                                  <w:sz w:val="21"/>
                                  <w:szCs w:val="21"/>
                                </w:rPr>
                              </w:pPr>
                              <w:r>
                                <w:rPr>
                                  <w:rFonts w:ascii="Cambria" w:hAnsi="Cambria"/>
                                  <w:color w:val="000000"/>
                                  <w:sz w:val="21"/>
                                  <w:szCs w:val="21"/>
                                </w:rPr>
                                <w:t> </w:t>
                              </w:r>
                            </w:p>
                          </w:tc>
                        </w:tr>
                      </w:tbl>
                      <w:p w:rsidR="002D5F8C" w:rsidRDefault="002D5F8C">
                        <w:pPr>
                          <w:rPr>
                            <w:rFonts w:ascii="Cambria" w:hAnsi="Cambria"/>
                            <w:color w:val="000000"/>
                            <w:sz w:val="21"/>
                            <w:szCs w:val="21"/>
                          </w:rPr>
                        </w:pPr>
                      </w:p>
                    </w:tc>
                  </w:tr>
                </w:tbl>
                <w:p w:rsidR="002D5F8C" w:rsidRDefault="002D5F8C">
                  <w:pPr>
                    <w:rPr>
                      <w:rFonts w:ascii="Cambria" w:hAnsi="Cambria"/>
                      <w:color w:val="000000"/>
                      <w:sz w:val="21"/>
                      <w:szCs w:val="21"/>
                    </w:rPr>
                  </w:pPr>
                </w:p>
              </w:tc>
            </w:tr>
          </w:tbl>
          <w:p w:rsidR="002D5F8C" w:rsidRDefault="002D5F8C">
            <w:pPr>
              <w:rPr>
                <w:rFonts w:ascii="Cambria" w:hAnsi="Cambria"/>
                <w:color w:val="000000"/>
                <w:sz w:val="21"/>
                <w:szCs w:val="21"/>
              </w:rPr>
            </w:pPr>
          </w:p>
        </w:tc>
      </w:tr>
    </w:tbl>
    <w:p w:rsidR="001C2AEF" w:rsidRDefault="001C2AEF" w:rsidP="001C2AEF">
      <w:pPr>
        <w:spacing w:after="200" w:line="360" w:lineRule="auto"/>
        <w:ind w:firstLine="720"/>
        <w:jc w:val="center"/>
        <w:rPr>
          <w:rFonts w:eastAsia="Calibri"/>
          <w:b/>
          <w:lang w:eastAsia="en-US"/>
        </w:rPr>
      </w:pPr>
    </w:p>
    <w:p w:rsidR="001C2AEF" w:rsidRDefault="001C2AEF" w:rsidP="001C2AEF">
      <w:pPr>
        <w:spacing w:after="200" w:line="360" w:lineRule="auto"/>
        <w:ind w:firstLine="720"/>
        <w:jc w:val="center"/>
        <w:rPr>
          <w:rFonts w:eastAsia="Calibri"/>
          <w:b/>
          <w:lang w:eastAsia="en-US"/>
        </w:rPr>
      </w:pPr>
      <w:r w:rsidRPr="00F34236">
        <w:rPr>
          <w:rFonts w:eastAsia="Calibri"/>
          <w:b/>
          <w:lang w:eastAsia="en-US"/>
        </w:rPr>
        <w:t xml:space="preserve">Evoluţia generală a </w:t>
      </w:r>
      <w:r>
        <w:rPr>
          <w:rFonts w:eastAsia="Calibri"/>
          <w:b/>
          <w:lang w:eastAsia="en-US"/>
        </w:rPr>
        <w:t>operativității</w:t>
      </w:r>
      <w:r w:rsidRPr="00F34236">
        <w:rPr>
          <w:rFonts w:eastAsia="Calibri"/>
          <w:b/>
          <w:lang w:eastAsia="en-US"/>
        </w:rPr>
        <w:t xml:space="preserve"> pe ultimii </w:t>
      </w:r>
      <w:r>
        <w:rPr>
          <w:rFonts w:eastAsia="Calibri"/>
          <w:b/>
          <w:lang w:eastAsia="en-US"/>
        </w:rPr>
        <w:t>3</w:t>
      </w:r>
      <w:r w:rsidRPr="00F34236">
        <w:rPr>
          <w:rFonts w:eastAsia="Calibri"/>
          <w:b/>
          <w:lang w:eastAsia="en-US"/>
        </w:rPr>
        <w:t xml:space="preserve"> ani</w:t>
      </w:r>
    </w:p>
    <w:p w:rsidR="001C2AEF" w:rsidRDefault="00491FD0" w:rsidP="001C2AEF">
      <w:pPr>
        <w:spacing w:after="200" w:line="360" w:lineRule="auto"/>
        <w:ind w:firstLine="720"/>
        <w:jc w:val="center"/>
        <w:rPr>
          <w:rFonts w:eastAsia="Calibri"/>
          <w:b/>
          <w:lang w:eastAsia="en-US"/>
        </w:rPr>
      </w:pPr>
      <w:r>
        <w:rPr>
          <w:noProof/>
        </w:rPr>
        <w:drawing>
          <wp:inline distT="0" distB="0" distL="0" distR="0">
            <wp:extent cx="3200400" cy="2447925"/>
            <wp:effectExtent l="0" t="0" r="0" b="0"/>
            <wp:docPr id="26"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C2AEF" w:rsidRDefault="001C2AEF" w:rsidP="001C2AEF">
      <w:pPr>
        <w:ind w:firstLine="720"/>
        <w:jc w:val="center"/>
        <w:rPr>
          <w:b/>
        </w:rPr>
      </w:pPr>
    </w:p>
    <w:p w:rsidR="001C2AEF" w:rsidRDefault="001C2AEF" w:rsidP="001C2AEF">
      <w:pPr>
        <w:ind w:firstLine="720"/>
        <w:jc w:val="center"/>
        <w:rPr>
          <w:b/>
        </w:rPr>
      </w:pPr>
    </w:p>
    <w:p w:rsidR="001C2AEF" w:rsidRDefault="001C2AEF" w:rsidP="001C2AEF">
      <w:pPr>
        <w:ind w:firstLine="720"/>
        <w:jc w:val="center"/>
        <w:rPr>
          <w:b/>
        </w:rPr>
      </w:pPr>
    </w:p>
    <w:p w:rsidR="001C2AEF" w:rsidRDefault="001C2AEF" w:rsidP="001C2AEF">
      <w:pPr>
        <w:ind w:firstLine="720"/>
        <w:jc w:val="center"/>
        <w:rPr>
          <w:b/>
        </w:rPr>
      </w:pPr>
    </w:p>
    <w:p w:rsidR="001C2AEF" w:rsidRDefault="001C2AEF" w:rsidP="001C2AEF">
      <w:pPr>
        <w:ind w:firstLine="720"/>
        <w:jc w:val="center"/>
        <w:rPr>
          <w:b/>
        </w:rPr>
      </w:pPr>
    </w:p>
    <w:p w:rsidR="001C2AEF" w:rsidRDefault="001C2AEF" w:rsidP="001C2AEF">
      <w:pPr>
        <w:ind w:firstLine="720"/>
        <w:jc w:val="center"/>
        <w:rPr>
          <w:b/>
        </w:rPr>
      </w:pPr>
    </w:p>
    <w:p w:rsidR="001C2AEF" w:rsidRDefault="001C2AEF" w:rsidP="001C2AEF">
      <w:pPr>
        <w:ind w:firstLine="720"/>
        <w:jc w:val="center"/>
        <w:rPr>
          <w:b/>
        </w:rPr>
      </w:pPr>
    </w:p>
    <w:p w:rsidR="001C2AEF" w:rsidRDefault="001C2AEF" w:rsidP="001C2AEF">
      <w:pPr>
        <w:ind w:firstLine="720"/>
        <w:jc w:val="center"/>
        <w:rPr>
          <w:b/>
        </w:rPr>
      </w:pPr>
      <w:r>
        <w:rPr>
          <w:b/>
        </w:rPr>
        <w:lastRenderedPageBreak/>
        <w:t>Evoluţia pe materii a operativității pe ultimii 3 ani</w:t>
      </w:r>
    </w:p>
    <w:p w:rsidR="001C2AEF" w:rsidRDefault="001C2AEF" w:rsidP="001C2AEF">
      <w:pPr>
        <w:ind w:firstLine="708"/>
        <w:rPr>
          <w:b/>
        </w:rPr>
      </w:pPr>
    </w:p>
    <w:p w:rsidR="001C2AEF" w:rsidRDefault="001C2AEF" w:rsidP="001C2AEF">
      <w:pPr>
        <w:ind w:firstLine="708"/>
        <w:jc w:val="center"/>
        <w:rPr>
          <w:noProof/>
        </w:rPr>
      </w:pPr>
    </w:p>
    <w:p w:rsidR="001C2AEF" w:rsidRDefault="00491FD0" w:rsidP="001C2AEF">
      <w:pPr>
        <w:jc w:val="center"/>
      </w:pPr>
      <w:r>
        <w:rPr>
          <w:noProof/>
        </w:rPr>
        <w:drawing>
          <wp:inline distT="0" distB="0" distL="0" distR="0">
            <wp:extent cx="2600325" cy="2838450"/>
            <wp:effectExtent l="0" t="0" r="0" b="0"/>
            <wp:docPr id="27" name="Diagramă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noProof/>
        </w:rPr>
        <w:drawing>
          <wp:inline distT="0" distB="0" distL="0" distR="0">
            <wp:extent cx="2600325" cy="2828925"/>
            <wp:effectExtent l="0" t="0" r="0" b="0"/>
            <wp:docPr id="28" name="Diagramă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A0A88" w:rsidRDefault="003A0A88" w:rsidP="003A0A88">
      <w:pPr>
        <w:rPr>
          <w:rFonts w:ascii="Cambria" w:hAnsi="Cambria"/>
          <w:vanish/>
          <w:color w:val="000000"/>
          <w:sz w:val="21"/>
          <w:szCs w:val="21"/>
        </w:rPr>
      </w:pPr>
    </w:p>
    <w:p w:rsidR="003A0A88" w:rsidRDefault="003A0A88" w:rsidP="003A0A88"/>
    <w:p w:rsidR="004C6762" w:rsidRDefault="004C6762" w:rsidP="004C6762"/>
    <w:p w:rsidR="004B1D2C" w:rsidRPr="00633B3C" w:rsidRDefault="004B1D2C" w:rsidP="00633B3C">
      <w:pPr>
        <w:spacing w:line="360" w:lineRule="auto"/>
        <w:rPr>
          <w:b/>
        </w:rPr>
      </w:pPr>
      <w:r w:rsidRPr="00633B3C">
        <w:rPr>
          <w:b/>
        </w:rPr>
        <w:tab/>
        <w:t>E2</w:t>
      </w:r>
      <w:r w:rsidR="00491FD0">
        <w:rPr>
          <w:b/>
        </w:rPr>
        <w:t>.</w:t>
      </w:r>
      <w:r w:rsidRPr="00633B3C">
        <w:rPr>
          <w:b/>
        </w:rPr>
        <w:t xml:space="preserve"> Stocul de dosare</w:t>
      </w:r>
    </w:p>
    <w:p w:rsidR="00633B3C" w:rsidRDefault="00633B3C" w:rsidP="00633B3C">
      <w:pPr>
        <w:spacing w:line="360" w:lineRule="auto"/>
        <w:ind w:firstLine="708"/>
        <w:jc w:val="both"/>
      </w:pPr>
      <w:r w:rsidRPr="00633B3C">
        <w:t>La data de 01.01.201</w:t>
      </w:r>
      <w:r w:rsidR="00F006BC">
        <w:t>8</w:t>
      </w:r>
      <w:r w:rsidRPr="00633B3C">
        <w:t xml:space="preserve"> din totalul de</w:t>
      </w:r>
      <w:r w:rsidRPr="00633B3C">
        <w:tab/>
        <w:t xml:space="preserve"> </w:t>
      </w:r>
      <w:r w:rsidR="00F006BC">
        <w:t>1168</w:t>
      </w:r>
      <w:r w:rsidRPr="00633B3C">
        <w:t xml:space="preserve"> dosare aflate în stoc un număr de 20 dosare sunt mai vechi de un an și jumătate, reprezentând un procent de  1,</w:t>
      </w:r>
      <w:r w:rsidR="00F006BC">
        <w:t>7</w:t>
      </w:r>
      <w:r w:rsidRPr="00633B3C">
        <w:t xml:space="preserve"> %. În consecinţă, la indicatorul de faţă, instanţa s-a încadrat în gradul „</w:t>
      </w:r>
      <w:r w:rsidRPr="00633B3C">
        <w:rPr>
          <w:b/>
        </w:rPr>
        <w:t>Foarte eficient</w:t>
      </w:r>
      <w:r w:rsidRPr="00633B3C">
        <w:t xml:space="preserve">,, </w:t>
      </w:r>
    </w:p>
    <w:p w:rsidR="00F006BC" w:rsidRDefault="00F006BC" w:rsidP="00633B3C">
      <w:pPr>
        <w:jc w:val="both"/>
      </w:pPr>
    </w:p>
    <w:tbl>
      <w:tblPr>
        <w:tblW w:w="7" w:type="pct"/>
        <w:tblCellSpacing w:w="0" w:type="dxa"/>
        <w:tblInd w:w="-15" w:type="dxa"/>
        <w:tblCellMar>
          <w:left w:w="0" w:type="dxa"/>
          <w:right w:w="0" w:type="dxa"/>
        </w:tblCellMar>
        <w:tblLook w:val="04A0" w:firstRow="1" w:lastRow="0" w:firstColumn="1" w:lastColumn="0" w:noHBand="0" w:noVBand="1"/>
      </w:tblPr>
      <w:tblGrid>
        <w:gridCol w:w="7738"/>
      </w:tblGrid>
      <w:tr w:rsidR="00F006BC" w:rsidTr="00F006BC">
        <w:trPr>
          <w:tblCellSpacing w:w="0" w:type="dxa"/>
        </w:trPr>
        <w:tc>
          <w:tcPr>
            <w:tcW w:w="0" w:type="auto"/>
            <w:vAlign w:val="center"/>
            <w:hideMark/>
          </w:tcPr>
          <w:p w:rsidR="00F006BC" w:rsidRDefault="00F006BC">
            <w:pPr>
              <w:rPr>
                <w:rFonts w:ascii="Cambria" w:hAnsi="Cambria"/>
                <w:color w:val="000000"/>
                <w:sz w:val="21"/>
                <w:szCs w:val="21"/>
              </w:rPr>
            </w:pPr>
          </w:p>
        </w:tc>
      </w:tr>
      <w:tr w:rsidR="00F006BC" w:rsidTr="00F006B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738"/>
            </w:tblGrid>
            <w:tr w:rsidR="00F006BC">
              <w:trPr>
                <w:tblCellSpacing w:w="0" w:type="dxa"/>
              </w:trPr>
              <w:tc>
                <w:tcPr>
                  <w:tcW w:w="0" w:type="auto"/>
                  <w:vAlign w:val="center"/>
                  <w:hideMark/>
                </w:tcPr>
                <w:p w:rsidR="00F006BC" w:rsidRDefault="00F006BC">
                  <w:pPr>
                    <w:rPr>
                      <w:rFonts w:ascii="Cambria" w:hAnsi="Cambria"/>
                      <w:color w:val="000000"/>
                      <w:sz w:val="21"/>
                      <w:szCs w:val="21"/>
                    </w:rPr>
                  </w:pPr>
                </w:p>
              </w:tc>
            </w:tr>
            <w:tr w:rsidR="00F006B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738"/>
                  </w:tblGrid>
                  <w:tr w:rsidR="00F006B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5"/>
                          <w:gridCol w:w="7708"/>
                          <w:gridCol w:w="15"/>
                        </w:tblGrid>
                        <w:tr w:rsidR="00F006BC" w:rsidTr="00F006BC">
                          <w:trPr>
                            <w:tblCellSpacing w:w="0" w:type="dxa"/>
                          </w:trPr>
                          <w:tc>
                            <w:tcPr>
                              <w:tcW w:w="0" w:type="auto"/>
                              <w:vAlign w:val="center"/>
                              <w:hideMark/>
                            </w:tcPr>
                            <w:p w:rsidR="00F006B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9" name="Imagine 29"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F006BC" w:rsidRDefault="00F006B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F006B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0" name="Imagine 3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F006BC" w:rsidRDefault="00F006B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266"/>
                          <w:gridCol w:w="598"/>
                          <w:gridCol w:w="1274"/>
                          <w:gridCol w:w="1058"/>
                          <w:gridCol w:w="449"/>
                          <w:gridCol w:w="449"/>
                          <w:gridCol w:w="449"/>
                          <w:gridCol w:w="449"/>
                        </w:tblGrid>
                        <w:tr w:rsidR="00F006B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F006BC">
                          <w:trPr>
                            <w:tblCellSpacing w:w="0" w:type="dxa"/>
                          </w:trPr>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MAI VECHI DE</w:t>
                              </w:r>
                              <w:r>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I</w:t>
                              </w:r>
                            </w:p>
                          </w:tc>
                        </w:tr>
                        <w:tr w:rsidR="00F006B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1168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20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CC0000"/>
                                  <w:sz w:val="21"/>
                                  <w:szCs w:val="21"/>
                                </w:rPr>
                              </w:pPr>
                              <w:r>
                                <w:rPr>
                                  <w:rFonts w:ascii="Cambria" w:hAnsi="Cambria"/>
                                  <w:color w:val="CC0000"/>
                                  <w:sz w:val="21"/>
                                  <w:szCs w:val="21"/>
                                </w:rPr>
                                <w:t>1,7%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F006B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006BC" w:rsidRDefault="00F006BC">
                                    <w:pPr>
                                      <w:rPr>
                                        <w:rFonts w:ascii="Cambria" w:hAnsi="Cambria"/>
                                        <w:color w:val="000000"/>
                                        <w:sz w:val="12"/>
                                        <w:szCs w:val="12"/>
                                      </w:rPr>
                                    </w:pPr>
                                    <w:r>
                                      <w:rPr>
                                        <w:rFonts w:ascii="Cambria" w:hAnsi="Cambria"/>
                                        <w:color w:val="000000"/>
                                        <w:sz w:val="12"/>
                                        <w:szCs w:val="12"/>
                                      </w:rPr>
                                      <w:t> </w:t>
                                    </w:r>
                                  </w:p>
                                </w:tc>
                              </w:tr>
                            </w:tbl>
                            <w:p w:rsidR="00F006BC" w:rsidRDefault="00F006B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r>
                      </w:tbl>
                      <w:p w:rsidR="00F006BC" w:rsidRDefault="00F006BC">
                        <w:pPr>
                          <w:rPr>
                            <w:rFonts w:ascii="Cambria" w:hAnsi="Cambria"/>
                            <w:color w:val="000000"/>
                            <w:sz w:val="21"/>
                            <w:szCs w:val="21"/>
                          </w:rPr>
                        </w:pPr>
                      </w:p>
                    </w:tc>
                  </w:tr>
                </w:tbl>
                <w:p w:rsidR="00F006BC" w:rsidRDefault="00F006BC">
                  <w:pPr>
                    <w:rPr>
                      <w:rFonts w:ascii="Cambria" w:hAnsi="Cambria"/>
                      <w:color w:val="000000"/>
                      <w:sz w:val="21"/>
                      <w:szCs w:val="21"/>
                    </w:rPr>
                  </w:pPr>
                </w:p>
              </w:tc>
            </w:tr>
          </w:tbl>
          <w:p w:rsidR="00F006BC" w:rsidRDefault="00F006BC">
            <w:pPr>
              <w:rPr>
                <w:rFonts w:ascii="Cambria" w:hAnsi="Cambria"/>
                <w:color w:val="000000"/>
                <w:sz w:val="21"/>
                <w:szCs w:val="21"/>
              </w:rPr>
            </w:pPr>
          </w:p>
        </w:tc>
      </w:tr>
      <w:tr w:rsidR="00F006BC" w:rsidTr="00F006BC">
        <w:trPr>
          <w:tblCellSpacing w:w="0" w:type="dxa"/>
        </w:trPr>
        <w:tc>
          <w:tcPr>
            <w:tcW w:w="0" w:type="auto"/>
            <w:vAlign w:val="center"/>
            <w:hideMark/>
          </w:tcPr>
          <w:p w:rsidR="00F006B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1" name="Imagine 3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633B3C" w:rsidRDefault="00633B3C" w:rsidP="00633B3C">
      <w:pPr>
        <w:rPr>
          <w:rFonts w:ascii="Cambria" w:hAnsi="Cambria"/>
          <w:vanish/>
          <w:color w:val="000000"/>
          <w:sz w:val="21"/>
          <w:szCs w:val="21"/>
        </w:rPr>
      </w:pPr>
    </w:p>
    <w:p w:rsidR="00FA5C96" w:rsidRDefault="00FA5C96" w:rsidP="00633B3C">
      <w:pPr>
        <w:spacing w:line="360" w:lineRule="auto"/>
        <w:ind w:firstLine="708"/>
        <w:jc w:val="both"/>
      </w:pPr>
    </w:p>
    <w:p w:rsidR="00633B3C" w:rsidRDefault="00633B3C" w:rsidP="00633B3C">
      <w:pPr>
        <w:spacing w:line="360" w:lineRule="auto"/>
        <w:ind w:firstLine="708"/>
        <w:jc w:val="both"/>
      </w:pPr>
      <w:r w:rsidRPr="00633B3C">
        <w:t>La data de 01.01.201</w:t>
      </w:r>
      <w:r w:rsidR="00F006BC">
        <w:t>8</w:t>
      </w:r>
      <w:r w:rsidRPr="00633B3C">
        <w:t xml:space="preserve"> </w:t>
      </w:r>
      <w:r>
        <w:t xml:space="preserve">în materie civilă stocul a fost de </w:t>
      </w:r>
      <w:r w:rsidR="00F006BC">
        <w:t>94</w:t>
      </w:r>
      <w:r>
        <w:t xml:space="preserve">4 dosare din care </w:t>
      </w:r>
      <w:r w:rsidRPr="00633B3C">
        <w:t xml:space="preserve"> un număr de </w:t>
      </w:r>
      <w:r>
        <w:t>1</w:t>
      </w:r>
      <w:r w:rsidR="00F006BC">
        <w:t>6</w:t>
      </w:r>
      <w:r w:rsidRPr="00633B3C">
        <w:t xml:space="preserve"> dosare sunt mai vechi de un an și jumătate, reprezentând un procent de  1,</w:t>
      </w:r>
      <w:r>
        <w:t>7</w:t>
      </w:r>
      <w:r w:rsidRPr="00633B3C">
        <w:t xml:space="preserve"> %. În consecinţă, la indicatorul de faţă, instanţa s-a încadrat în gradul „</w:t>
      </w:r>
      <w:r w:rsidRPr="00633B3C">
        <w:rPr>
          <w:b/>
        </w:rPr>
        <w:t>Foarte eficient</w:t>
      </w:r>
      <w:r w:rsidRPr="00633B3C">
        <w:t xml:space="preserve">,, </w:t>
      </w:r>
      <w:r w:rsidR="001C4AC7">
        <w:t>.</w:t>
      </w:r>
    </w:p>
    <w:tbl>
      <w:tblPr>
        <w:tblW w:w="5000" w:type="pct"/>
        <w:tblCellSpacing w:w="7" w:type="dxa"/>
        <w:tblCellMar>
          <w:left w:w="0" w:type="dxa"/>
          <w:right w:w="0" w:type="dxa"/>
        </w:tblCellMar>
        <w:tblLook w:val="04A0" w:firstRow="1" w:lastRow="0" w:firstColumn="1" w:lastColumn="0" w:noHBand="0" w:noVBand="1"/>
      </w:tblPr>
      <w:tblGrid>
        <w:gridCol w:w="9100"/>
      </w:tblGrid>
      <w:tr w:rsidR="00F006BC">
        <w:trPr>
          <w:tblCellSpacing w:w="7" w:type="dxa"/>
        </w:trPr>
        <w:tc>
          <w:tcPr>
            <w:tcW w:w="0" w:type="auto"/>
            <w:vAlign w:val="center"/>
            <w:hideMark/>
          </w:tcPr>
          <w:p w:rsidR="00F006BC" w:rsidRDefault="00F006BC">
            <w:pPr>
              <w:rPr>
                <w:rFonts w:ascii="Cambria" w:hAnsi="Cambria"/>
                <w:color w:val="000000"/>
                <w:sz w:val="21"/>
                <w:szCs w:val="21"/>
              </w:rPr>
            </w:pPr>
          </w:p>
        </w:tc>
      </w:tr>
      <w:tr w:rsidR="00F006B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006BC">
              <w:trPr>
                <w:tblCellSpacing w:w="0" w:type="dxa"/>
              </w:trPr>
              <w:tc>
                <w:tcPr>
                  <w:tcW w:w="0" w:type="auto"/>
                  <w:vAlign w:val="center"/>
                  <w:hideMark/>
                </w:tcPr>
                <w:p w:rsidR="00F006BC" w:rsidRDefault="00F006BC">
                  <w:pPr>
                    <w:rPr>
                      <w:rFonts w:ascii="Cambria" w:hAnsi="Cambria"/>
                      <w:color w:val="000000"/>
                      <w:sz w:val="21"/>
                      <w:szCs w:val="21"/>
                    </w:rPr>
                  </w:pPr>
                </w:p>
              </w:tc>
            </w:tr>
            <w:tr w:rsidR="00F006B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006B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F006BC">
                          <w:trPr>
                            <w:tblCellSpacing w:w="0" w:type="dxa"/>
                          </w:trPr>
                          <w:tc>
                            <w:tcPr>
                              <w:tcW w:w="0" w:type="auto"/>
                              <w:vAlign w:val="center"/>
                              <w:hideMark/>
                            </w:tcPr>
                            <w:p w:rsidR="00F006B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2" name="Imagine 3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F006BC" w:rsidRDefault="00F006B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F006B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3" name="Imagine 3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F006BC" w:rsidRDefault="00F006B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600"/>
                          <w:gridCol w:w="598"/>
                          <w:gridCol w:w="1274"/>
                          <w:gridCol w:w="1058"/>
                          <w:gridCol w:w="449"/>
                          <w:gridCol w:w="449"/>
                          <w:gridCol w:w="449"/>
                          <w:gridCol w:w="449"/>
                        </w:tblGrid>
                        <w:tr w:rsidR="00F006B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F006BC">
                          <w:trPr>
                            <w:tblCellSpacing w:w="0" w:type="dxa"/>
                          </w:trPr>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MAI VECHI DE</w:t>
                              </w:r>
                              <w:r>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I</w:t>
                              </w:r>
                            </w:p>
                          </w:tc>
                        </w:tr>
                        <w:tr w:rsidR="00F006B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944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16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CC0000"/>
                                  <w:sz w:val="21"/>
                                  <w:szCs w:val="21"/>
                                </w:rPr>
                              </w:pPr>
                              <w:r>
                                <w:rPr>
                                  <w:rFonts w:ascii="Cambria" w:hAnsi="Cambria"/>
                                  <w:color w:val="CC0000"/>
                                  <w:sz w:val="21"/>
                                  <w:szCs w:val="21"/>
                                </w:rPr>
                                <w:t>1,7%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F006B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006BC" w:rsidRDefault="00F006BC">
                                    <w:pPr>
                                      <w:rPr>
                                        <w:rFonts w:ascii="Cambria" w:hAnsi="Cambria"/>
                                        <w:color w:val="000000"/>
                                        <w:sz w:val="12"/>
                                        <w:szCs w:val="12"/>
                                      </w:rPr>
                                    </w:pPr>
                                    <w:r>
                                      <w:rPr>
                                        <w:rFonts w:ascii="Cambria" w:hAnsi="Cambria"/>
                                        <w:color w:val="000000"/>
                                        <w:sz w:val="12"/>
                                        <w:szCs w:val="12"/>
                                      </w:rPr>
                                      <w:t> </w:t>
                                    </w:r>
                                  </w:p>
                                </w:tc>
                              </w:tr>
                            </w:tbl>
                            <w:p w:rsidR="00F006BC" w:rsidRDefault="00F006B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r>
                      </w:tbl>
                      <w:p w:rsidR="00F006BC" w:rsidRDefault="00F006BC">
                        <w:pPr>
                          <w:rPr>
                            <w:rFonts w:ascii="Cambria" w:hAnsi="Cambria"/>
                            <w:color w:val="000000"/>
                            <w:sz w:val="21"/>
                            <w:szCs w:val="21"/>
                          </w:rPr>
                        </w:pPr>
                      </w:p>
                    </w:tc>
                  </w:tr>
                </w:tbl>
                <w:p w:rsidR="00F006BC" w:rsidRDefault="00F006BC">
                  <w:pPr>
                    <w:rPr>
                      <w:rFonts w:ascii="Cambria" w:hAnsi="Cambria"/>
                      <w:color w:val="000000"/>
                      <w:sz w:val="21"/>
                      <w:szCs w:val="21"/>
                    </w:rPr>
                  </w:pPr>
                </w:p>
              </w:tc>
            </w:tr>
          </w:tbl>
          <w:p w:rsidR="00F006BC" w:rsidRDefault="00F006BC">
            <w:pPr>
              <w:rPr>
                <w:rFonts w:ascii="Cambria" w:hAnsi="Cambria"/>
                <w:color w:val="000000"/>
                <w:sz w:val="21"/>
                <w:szCs w:val="21"/>
              </w:rPr>
            </w:pPr>
          </w:p>
        </w:tc>
      </w:tr>
    </w:tbl>
    <w:p w:rsidR="00633B3C" w:rsidRDefault="00633B3C" w:rsidP="00633B3C">
      <w:pPr>
        <w:rPr>
          <w:rFonts w:ascii="Cambria" w:hAnsi="Cambria"/>
          <w:vanish/>
          <w:color w:val="000000"/>
          <w:sz w:val="21"/>
          <w:szCs w:val="21"/>
        </w:rPr>
      </w:pPr>
    </w:p>
    <w:p w:rsidR="00FA5C96" w:rsidRDefault="00FA5C96" w:rsidP="00633B3C">
      <w:pPr>
        <w:spacing w:line="360" w:lineRule="auto"/>
        <w:ind w:firstLine="708"/>
        <w:jc w:val="both"/>
      </w:pPr>
    </w:p>
    <w:p w:rsidR="00633B3C" w:rsidRDefault="00633B3C" w:rsidP="00633B3C">
      <w:pPr>
        <w:spacing w:line="360" w:lineRule="auto"/>
        <w:ind w:firstLine="708"/>
        <w:jc w:val="both"/>
      </w:pPr>
      <w:r w:rsidRPr="00633B3C">
        <w:t>La data de 01.01.201</w:t>
      </w:r>
      <w:r w:rsidR="00F006BC">
        <w:t>8</w:t>
      </w:r>
      <w:r w:rsidRPr="00633B3C">
        <w:t xml:space="preserve"> </w:t>
      </w:r>
      <w:r>
        <w:t xml:space="preserve">în materie </w:t>
      </w:r>
      <w:r w:rsidR="00F006BC">
        <w:t>penală</w:t>
      </w:r>
      <w:r>
        <w:t xml:space="preserve"> stocul a fost de </w:t>
      </w:r>
      <w:r w:rsidR="0054491F">
        <w:t>224</w:t>
      </w:r>
      <w:r>
        <w:t xml:space="preserve"> dosare din care </w:t>
      </w:r>
      <w:r w:rsidRPr="00633B3C">
        <w:t xml:space="preserve"> un număr de </w:t>
      </w:r>
      <w:r w:rsidR="0054491F">
        <w:t>4</w:t>
      </w:r>
      <w:r w:rsidRPr="00633B3C">
        <w:t xml:space="preserve"> dosare sunt mai vechi de un an și jumătate, reprezentând un procent de  </w:t>
      </w:r>
      <w:r w:rsidR="0054491F">
        <w:t>1</w:t>
      </w:r>
      <w:r>
        <w:t>,</w:t>
      </w:r>
      <w:r w:rsidR="0054491F">
        <w:t>8</w:t>
      </w:r>
      <w:r w:rsidRPr="00633B3C">
        <w:t xml:space="preserve"> %. În consecinţă, la indicatorul de faţă, instanţa s-a încadrat în gradul „</w:t>
      </w:r>
      <w:r w:rsidRPr="00633B3C">
        <w:rPr>
          <w:b/>
        </w:rPr>
        <w:t>Foarte eficient</w:t>
      </w:r>
      <w:r w:rsidRPr="00633B3C">
        <w:t xml:space="preserve">,, </w:t>
      </w:r>
    </w:p>
    <w:p w:rsidR="001C2AEF" w:rsidRPr="00633B3C" w:rsidRDefault="001C2AEF" w:rsidP="00633B3C">
      <w:pPr>
        <w:spacing w:line="360" w:lineRule="auto"/>
        <w:ind w:firstLine="708"/>
        <w:jc w:val="both"/>
      </w:pPr>
    </w:p>
    <w:p w:rsidR="00633B3C" w:rsidRDefault="00633B3C" w:rsidP="00633B3C">
      <w:pPr>
        <w:rPr>
          <w:rFonts w:ascii="Cambria" w:hAnsi="Cambria"/>
          <w:vanish/>
          <w:color w:val="000000"/>
          <w:sz w:val="21"/>
          <w:szCs w:val="21"/>
        </w:rPr>
      </w:pPr>
    </w:p>
    <w:tbl>
      <w:tblPr>
        <w:tblW w:w="5000" w:type="pct"/>
        <w:tblCellSpacing w:w="7" w:type="dxa"/>
        <w:tblCellMar>
          <w:left w:w="0" w:type="dxa"/>
          <w:right w:w="0" w:type="dxa"/>
        </w:tblCellMar>
        <w:tblLook w:val="04A0" w:firstRow="1" w:lastRow="0" w:firstColumn="1" w:lastColumn="0" w:noHBand="0" w:noVBand="1"/>
      </w:tblPr>
      <w:tblGrid>
        <w:gridCol w:w="9100"/>
      </w:tblGrid>
      <w:tr w:rsidR="00F006BC">
        <w:trPr>
          <w:tblCellSpacing w:w="7" w:type="dxa"/>
        </w:trPr>
        <w:tc>
          <w:tcPr>
            <w:tcW w:w="0" w:type="auto"/>
            <w:vAlign w:val="center"/>
            <w:hideMark/>
          </w:tcPr>
          <w:p w:rsidR="00F006BC" w:rsidRDefault="00F006BC">
            <w:pPr>
              <w:rPr>
                <w:rFonts w:ascii="Cambria" w:hAnsi="Cambria"/>
                <w:color w:val="000000"/>
                <w:sz w:val="21"/>
                <w:szCs w:val="21"/>
              </w:rPr>
            </w:pPr>
          </w:p>
        </w:tc>
      </w:tr>
      <w:tr w:rsidR="00F006B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006BC">
              <w:trPr>
                <w:tblCellSpacing w:w="0" w:type="dxa"/>
              </w:trPr>
              <w:tc>
                <w:tcPr>
                  <w:tcW w:w="0" w:type="auto"/>
                  <w:vAlign w:val="center"/>
                  <w:hideMark/>
                </w:tcPr>
                <w:p w:rsidR="00F006BC" w:rsidRDefault="00F006BC">
                  <w:pPr>
                    <w:rPr>
                      <w:rFonts w:ascii="Cambria" w:hAnsi="Cambria"/>
                      <w:color w:val="000000"/>
                      <w:sz w:val="21"/>
                      <w:szCs w:val="21"/>
                    </w:rPr>
                  </w:pPr>
                </w:p>
              </w:tc>
            </w:tr>
            <w:tr w:rsidR="00F006B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006B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F006BC">
                          <w:trPr>
                            <w:tblCellSpacing w:w="0" w:type="dxa"/>
                          </w:trPr>
                          <w:tc>
                            <w:tcPr>
                              <w:tcW w:w="0" w:type="auto"/>
                              <w:vAlign w:val="center"/>
                              <w:hideMark/>
                            </w:tcPr>
                            <w:p w:rsidR="00F006B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4" name="Imagine 3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F006BC" w:rsidRDefault="00F006B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F006BC"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5" name="Imagine 35"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F006BC" w:rsidRDefault="00F006B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600"/>
                          <w:gridCol w:w="598"/>
                          <w:gridCol w:w="1274"/>
                          <w:gridCol w:w="1058"/>
                          <w:gridCol w:w="449"/>
                          <w:gridCol w:w="449"/>
                          <w:gridCol w:w="449"/>
                          <w:gridCol w:w="449"/>
                        </w:tblGrid>
                        <w:tr w:rsidR="00F006B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F006BC">
                          <w:trPr>
                            <w:tblCellSpacing w:w="0" w:type="dxa"/>
                          </w:trPr>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MAI VECHI DE</w:t>
                              </w:r>
                              <w:r>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F006BC" w:rsidRDefault="00F006B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F006BC" w:rsidRDefault="00F006BC">
                              <w:pPr>
                                <w:jc w:val="center"/>
                                <w:rPr>
                                  <w:rFonts w:ascii="Tahoma" w:hAnsi="Tahoma" w:cs="Tahoma"/>
                                  <w:b/>
                                  <w:bCs/>
                                  <w:color w:val="000000"/>
                                  <w:sz w:val="17"/>
                                  <w:szCs w:val="17"/>
                                </w:rPr>
                              </w:pPr>
                              <w:r>
                                <w:rPr>
                                  <w:rFonts w:ascii="Tahoma" w:hAnsi="Tahoma" w:cs="Tahoma"/>
                                  <w:b/>
                                  <w:bCs/>
                                  <w:color w:val="000000"/>
                                  <w:sz w:val="17"/>
                                  <w:szCs w:val="17"/>
                                </w:rPr>
                                <w:t>I</w:t>
                              </w:r>
                            </w:p>
                          </w:tc>
                        </w:tr>
                        <w:tr w:rsidR="00F006B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224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CC0000"/>
                                  <w:sz w:val="21"/>
                                  <w:szCs w:val="21"/>
                                </w:rPr>
                              </w:pPr>
                              <w:r>
                                <w:rPr>
                                  <w:rFonts w:ascii="Cambria" w:hAnsi="Cambria"/>
                                  <w:color w:val="CC0000"/>
                                  <w:sz w:val="21"/>
                                  <w:szCs w:val="21"/>
                                </w:rPr>
                                <w:t>1,8%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F006B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006BC" w:rsidRDefault="00F006BC">
                                    <w:pPr>
                                      <w:rPr>
                                        <w:rFonts w:ascii="Cambria" w:hAnsi="Cambria"/>
                                        <w:color w:val="000000"/>
                                        <w:sz w:val="12"/>
                                        <w:szCs w:val="12"/>
                                      </w:rPr>
                                    </w:pPr>
                                    <w:r>
                                      <w:rPr>
                                        <w:rFonts w:ascii="Cambria" w:hAnsi="Cambria"/>
                                        <w:color w:val="000000"/>
                                        <w:sz w:val="12"/>
                                        <w:szCs w:val="12"/>
                                      </w:rPr>
                                      <w:t> </w:t>
                                    </w:r>
                                  </w:p>
                                </w:tc>
                              </w:tr>
                            </w:tbl>
                            <w:p w:rsidR="00F006BC" w:rsidRDefault="00F006B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F006BC" w:rsidRDefault="00F006BC">
                              <w:pPr>
                                <w:jc w:val="center"/>
                                <w:rPr>
                                  <w:rFonts w:ascii="Cambria" w:hAnsi="Cambria"/>
                                  <w:color w:val="000000"/>
                                  <w:sz w:val="21"/>
                                  <w:szCs w:val="21"/>
                                </w:rPr>
                              </w:pPr>
                              <w:r>
                                <w:rPr>
                                  <w:rFonts w:ascii="Cambria" w:hAnsi="Cambria"/>
                                  <w:color w:val="000000"/>
                                  <w:sz w:val="21"/>
                                  <w:szCs w:val="21"/>
                                </w:rPr>
                                <w:t> </w:t>
                              </w:r>
                            </w:p>
                          </w:tc>
                        </w:tr>
                      </w:tbl>
                      <w:p w:rsidR="00F006BC" w:rsidRDefault="00F006BC">
                        <w:pPr>
                          <w:rPr>
                            <w:rFonts w:ascii="Cambria" w:hAnsi="Cambria"/>
                            <w:color w:val="000000"/>
                            <w:sz w:val="21"/>
                            <w:szCs w:val="21"/>
                          </w:rPr>
                        </w:pPr>
                      </w:p>
                    </w:tc>
                  </w:tr>
                </w:tbl>
                <w:p w:rsidR="00F006BC" w:rsidRDefault="00F006BC">
                  <w:pPr>
                    <w:rPr>
                      <w:rFonts w:ascii="Cambria" w:hAnsi="Cambria"/>
                      <w:color w:val="000000"/>
                      <w:sz w:val="21"/>
                      <w:szCs w:val="21"/>
                    </w:rPr>
                  </w:pPr>
                </w:p>
              </w:tc>
            </w:tr>
          </w:tbl>
          <w:p w:rsidR="00F006BC" w:rsidRDefault="00F006BC">
            <w:pPr>
              <w:rPr>
                <w:rFonts w:ascii="Cambria" w:hAnsi="Cambria"/>
                <w:color w:val="000000"/>
                <w:sz w:val="21"/>
                <w:szCs w:val="21"/>
              </w:rPr>
            </w:pPr>
          </w:p>
        </w:tc>
      </w:tr>
    </w:tbl>
    <w:p w:rsidR="00FA5C96" w:rsidRDefault="00FA5C96" w:rsidP="00787797">
      <w:pPr>
        <w:spacing w:line="360" w:lineRule="auto"/>
        <w:ind w:firstLine="708"/>
        <w:jc w:val="both"/>
        <w:rPr>
          <w:b/>
        </w:rPr>
      </w:pPr>
    </w:p>
    <w:p w:rsidR="00633B3C" w:rsidRPr="00787797" w:rsidRDefault="00633B3C" w:rsidP="00787797">
      <w:pPr>
        <w:spacing w:line="360" w:lineRule="auto"/>
        <w:ind w:firstLine="708"/>
        <w:jc w:val="both"/>
        <w:rPr>
          <w:b/>
        </w:rPr>
      </w:pPr>
      <w:r w:rsidRPr="00787797">
        <w:rPr>
          <w:b/>
        </w:rPr>
        <w:t>E3.Ponderea dosarelor închise într-un an</w:t>
      </w:r>
    </w:p>
    <w:tbl>
      <w:tblPr>
        <w:tblW w:w="5132" w:type="pct"/>
        <w:tblCellSpacing w:w="7" w:type="dxa"/>
        <w:tblInd w:w="-1" w:type="dxa"/>
        <w:tblCellMar>
          <w:left w:w="0" w:type="dxa"/>
          <w:right w:w="0" w:type="dxa"/>
        </w:tblCellMar>
        <w:tblLook w:val="04A0" w:firstRow="1" w:lastRow="0" w:firstColumn="1" w:lastColumn="0" w:noHBand="0" w:noVBand="1"/>
      </w:tblPr>
      <w:tblGrid>
        <w:gridCol w:w="9340"/>
      </w:tblGrid>
      <w:tr w:rsidR="00633B3C" w:rsidRPr="00787797" w:rsidTr="0054491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12"/>
            </w:tblGrid>
            <w:tr w:rsidR="00633B3C" w:rsidRPr="00787797" w:rsidTr="00633B3C">
              <w:trPr>
                <w:tblCellSpacing w:w="0" w:type="dxa"/>
              </w:trPr>
              <w:tc>
                <w:tcPr>
                  <w:tcW w:w="0" w:type="auto"/>
                  <w:hideMark/>
                </w:tcPr>
                <w:p w:rsidR="00633B3C" w:rsidRPr="00787797" w:rsidRDefault="00633B3C" w:rsidP="0054491F">
                  <w:pPr>
                    <w:spacing w:line="360" w:lineRule="auto"/>
                    <w:rPr>
                      <w:rFonts w:ascii="Cambria" w:hAnsi="Cambria"/>
                      <w:color w:val="000000"/>
                    </w:rPr>
                  </w:pPr>
                  <w:r w:rsidRPr="00787797">
                    <w:rPr>
                      <w:rFonts w:ascii="Garamond" w:hAnsi="Garamond"/>
                    </w:rPr>
                    <w:t xml:space="preserve"> </w:t>
                  </w:r>
                  <w:r w:rsidRPr="00787797">
                    <w:rPr>
                      <w:rFonts w:ascii="Garamond" w:hAnsi="Garamond"/>
                    </w:rPr>
                    <w:tab/>
                    <w:t>Î</w:t>
                  </w:r>
                  <w:r w:rsidRPr="00787797">
                    <w:t xml:space="preserve">n perioada de referinţă, din totalul de </w:t>
                  </w:r>
                  <w:r w:rsidR="0054491F">
                    <w:t>4826</w:t>
                  </w:r>
                  <w:r w:rsidRPr="00787797">
                    <w:t xml:space="preserve"> dosare au fost soluţionate</w:t>
                  </w:r>
                  <w:r w:rsidR="00787797">
                    <w:t xml:space="preserve"> </w:t>
                  </w:r>
                  <w:r w:rsidR="0054491F">
                    <w:t>4614</w:t>
                  </w:r>
                  <w:r w:rsidR="00787797">
                    <w:t xml:space="preserve"> </w:t>
                  </w:r>
                  <w:r w:rsidRPr="00787797">
                    <w:t xml:space="preserve">în termen de maximum un an de la înregistrare, reprezentând un procent de </w:t>
                  </w:r>
                  <w:r w:rsidRPr="00787797">
                    <w:rPr>
                      <w:b/>
                    </w:rPr>
                    <w:t>9</w:t>
                  </w:r>
                  <w:r w:rsidR="0054491F">
                    <w:rPr>
                      <w:b/>
                    </w:rPr>
                    <w:t>5</w:t>
                  </w:r>
                  <w:r w:rsidR="00787797">
                    <w:rPr>
                      <w:b/>
                    </w:rPr>
                    <w:t>,</w:t>
                  </w:r>
                  <w:r w:rsidR="0054491F">
                    <w:rPr>
                      <w:b/>
                    </w:rPr>
                    <w:t>6</w:t>
                  </w:r>
                  <w:r w:rsidRPr="00787797">
                    <w:rPr>
                      <w:b/>
                    </w:rPr>
                    <w:t xml:space="preserve"> %.</w:t>
                  </w:r>
                  <w:r w:rsidR="00787797" w:rsidRPr="00787797">
                    <w:rPr>
                      <w:b/>
                    </w:rPr>
                    <w:t xml:space="preserve"> </w:t>
                  </w:r>
                  <w:r w:rsidRPr="00787797">
                    <w:t xml:space="preserve"> În consecinţă, la acest indicator, instanţa s-a încadrat în gradul „</w:t>
                  </w:r>
                  <w:r w:rsidRPr="00787797">
                    <w:rPr>
                      <w:b/>
                    </w:rPr>
                    <w:t>Foarte eficient,,</w:t>
                  </w:r>
                  <w:r w:rsidRPr="00787797">
                    <w:t>.</w:t>
                  </w:r>
                </w:p>
              </w:tc>
            </w:tr>
          </w:tbl>
          <w:p w:rsidR="00633B3C" w:rsidRPr="00787797" w:rsidRDefault="00633B3C" w:rsidP="00787797">
            <w:pPr>
              <w:spacing w:line="360" w:lineRule="auto"/>
              <w:rPr>
                <w:rFonts w:ascii="Cambria" w:hAnsi="Cambria"/>
                <w:color w:val="000000"/>
              </w:rPr>
            </w:pPr>
          </w:p>
        </w:tc>
      </w:tr>
    </w:tbl>
    <w:p w:rsidR="00787797" w:rsidRDefault="00787797" w:rsidP="00787797">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9072"/>
      </w:tblGrid>
      <w:tr w:rsidR="0054491F">
        <w:trPr>
          <w:tblCellSpacing w:w="0" w:type="dxa"/>
        </w:trPr>
        <w:tc>
          <w:tcPr>
            <w:tcW w:w="0" w:type="auto"/>
            <w:vAlign w:val="center"/>
            <w:hideMark/>
          </w:tcPr>
          <w:p w:rsidR="0054491F" w:rsidRDefault="0054491F">
            <w:pPr>
              <w:rPr>
                <w:rFonts w:ascii="Cambria" w:hAnsi="Cambria"/>
                <w:color w:val="000000"/>
                <w:sz w:val="21"/>
                <w:szCs w:val="21"/>
              </w:rPr>
            </w:pPr>
          </w:p>
        </w:tc>
      </w:tr>
      <w:tr w:rsidR="0054491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54491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54491F">
                    <w:trPr>
                      <w:tblCellSpacing w:w="0" w:type="dxa"/>
                    </w:trPr>
                    <w:tc>
                      <w:tcPr>
                        <w:tcW w:w="0" w:type="auto"/>
                        <w:vAlign w:val="center"/>
                        <w:hideMark/>
                      </w:tcPr>
                      <w:p w:rsidR="0054491F"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6" name="Imagine 36"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54491F" w:rsidRDefault="0054491F">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54491F"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7" name="Imagine 3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4491F" w:rsidRDefault="0054491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38"/>
                    <w:gridCol w:w="1021"/>
                    <w:gridCol w:w="1113"/>
                    <w:gridCol w:w="1058"/>
                    <w:gridCol w:w="449"/>
                    <w:gridCol w:w="449"/>
                    <w:gridCol w:w="449"/>
                    <w:gridCol w:w="449"/>
                  </w:tblGrid>
                  <w:tr w:rsidR="0054491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54491F">
                    <w:trPr>
                      <w:tblCellSpacing w:w="0" w:type="dxa"/>
                    </w:trPr>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I</w:t>
                        </w:r>
                      </w:p>
                    </w:tc>
                  </w:tr>
                  <w:tr w:rsidR="0054491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4826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4614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CC0000"/>
                            <w:sz w:val="21"/>
                            <w:szCs w:val="21"/>
                          </w:rPr>
                        </w:pPr>
                        <w:r>
                          <w:rPr>
                            <w:rFonts w:ascii="Cambria" w:hAnsi="Cambria"/>
                            <w:color w:val="CC0000"/>
                            <w:sz w:val="21"/>
                            <w:szCs w:val="21"/>
                          </w:rPr>
                          <w:t>95,6%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4491F">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4491F" w:rsidRDefault="0054491F">
                              <w:pPr>
                                <w:rPr>
                                  <w:rFonts w:ascii="Cambria" w:hAnsi="Cambria"/>
                                  <w:color w:val="000000"/>
                                  <w:sz w:val="12"/>
                                  <w:szCs w:val="12"/>
                                </w:rPr>
                              </w:pPr>
                              <w:r>
                                <w:rPr>
                                  <w:rFonts w:ascii="Cambria" w:hAnsi="Cambria"/>
                                  <w:color w:val="000000"/>
                                  <w:sz w:val="12"/>
                                  <w:szCs w:val="12"/>
                                </w:rPr>
                                <w:t> </w:t>
                              </w:r>
                            </w:p>
                          </w:tc>
                        </w:tr>
                      </w:tbl>
                      <w:p w:rsidR="0054491F" w:rsidRDefault="0054491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r>
                </w:tbl>
                <w:p w:rsidR="0054491F" w:rsidRDefault="0054491F">
                  <w:pPr>
                    <w:rPr>
                      <w:rFonts w:ascii="Cambria" w:hAnsi="Cambria"/>
                      <w:color w:val="000000"/>
                      <w:sz w:val="21"/>
                      <w:szCs w:val="21"/>
                    </w:rPr>
                  </w:pPr>
                </w:p>
              </w:tc>
            </w:tr>
          </w:tbl>
          <w:p w:rsidR="0054491F" w:rsidRDefault="0054491F">
            <w:pPr>
              <w:rPr>
                <w:rFonts w:ascii="Cambria" w:hAnsi="Cambria"/>
                <w:color w:val="000000"/>
                <w:sz w:val="21"/>
                <w:szCs w:val="21"/>
              </w:rPr>
            </w:pPr>
          </w:p>
        </w:tc>
      </w:tr>
    </w:tbl>
    <w:p w:rsidR="00570E14" w:rsidRDefault="00570E14" w:rsidP="00787797">
      <w:pPr>
        <w:spacing w:line="360" w:lineRule="auto"/>
        <w:rPr>
          <w:b/>
        </w:rPr>
      </w:pPr>
    </w:p>
    <w:p w:rsidR="00FA5C96" w:rsidRDefault="00570E14" w:rsidP="00787797">
      <w:pPr>
        <w:spacing w:line="360" w:lineRule="auto"/>
        <w:rPr>
          <w:b/>
        </w:rPr>
      </w:pPr>
      <w:r>
        <w:rPr>
          <w:b/>
        </w:rPr>
        <w:t>Non-penale</w:t>
      </w:r>
      <w:r w:rsidR="00787797" w:rsidRPr="00787797">
        <w:rPr>
          <w:b/>
        </w:rPr>
        <w:tab/>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570E14">
        <w:trPr>
          <w:tblCellSpacing w:w="0" w:type="dxa"/>
        </w:trPr>
        <w:tc>
          <w:tcPr>
            <w:tcW w:w="5000" w:type="pct"/>
            <w:shd w:val="clear" w:color="auto" w:fill="153E6C"/>
            <w:noWrap/>
            <w:tcMar>
              <w:top w:w="15" w:type="dxa"/>
              <w:left w:w="15" w:type="dxa"/>
              <w:bottom w:w="15" w:type="dxa"/>
              <w:right w:w="15" w:type="dxa"/>
            </w:tcMar>
            <w:vAlign w:val="center"/>
            <w:hideMark/>
          </w:tcPr>
          <w:p w:rsidR="00570E14" w:rsidRDefault="00570E14">
            <w:pPr>
              <w:jc w:val="center"/>
              <w:rPr>
                <w:rFonts w:ascii="Tahoma" w:hAnsi="Tahoma" w:cs="Tahoma"/>
                <w:b/>
                <w:bCs/>
                <w:color w:val="F9F9F9"/>
                <w:sz w:val="17"/>
                <w:szCs w:val="17"/>
              </w:rPr>
            </w:pPr>
          </w:p>
        </w:tc>
        <w:tc>
          <w:tcPr>
            <w:tcW w:w="0" w:type="auto"/>
            <w:vAlign w:val="center"/>
            <w:hideMark/>
          </w:tcPr>
          <w:p w:rsidR="00570E14"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8" name="Imagine 38"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70E14" w:rsidRDefault="00570E14" w:rsidP="00570E14">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68"/>
        <w:gridCol w:w="1021"/>
        <w:gridCol w:w="1113"/>
        <w:gridCol w:w="1058"/>
        <w:gridCol w:w="449"/>
        <w:gridCol w:w="449"/>
        <w:gridCol w:w="449"/>
        <w:gridCol w:w="449"/>
      </w:tblGrid>
      <w:tr w:rsidR="00570E14">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570E14">
        <w:trPr>
          <w:tblCellSpacing w:w="0" w:type="dxa"/>
        </w:trPr>
        <w:tc>
          <w:tcPr>
            <w:tcW w:w="0" w:type="auto"/>
            <w:vMerge/>
            <w:tcBorders>
              <w:bottom w:val="single" w:sz="6" w:space="0" w:color="FFFFFF"/>
              <w:right w:val="single" w:sz="6" w:space="0" w:color="FFFFFF"/>
            </w:tcBorders>
            <w:vAlign w:val="center"/>
            <w:hideMark/>
          </w:tcPr>
          <w:p w:rsidR="00570E14" w:rsidRDefault="00570E1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70E14" w:rsidRDefault="00570E14">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570E14" w:rsidRDefault="00570E14">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I</w:t>
            </w:r>
          </w:p>
        </w:tc>
      </w:tr>
      <w:tr w:rsidR="00570E14">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3624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3477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CC0000"/>
                <w:sz w:val="21"/>
                <w:szCs w:val="21"/>
              </w:rPr>
            </w:pPr>
            <w:r>
              <w:rPr>
                <w:rFonts w:ascii="Cambria" w:hAnsi="Cambria"/>
                <w:color w:val="CC0000"/>
                <w:sz w:val="21"/>
                <w:szCs w:val="21"/>
              </w:rPr>
              <w:t>95,9%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70E14">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70E14" w:rsidRDefault="00570E14">
                  <w:pPr>
                    <w:rPr>
                      <w:rFonts w:ascii="Cambria" w:hAnsi="Cambria"/>
                      <w:color w:val="000000"/>
                      <w:sz w:val="12"/>
                      <w:szCs w:val="12"/>
                    </w:rPr>
                  </w:pPr>
                  <w:r>
                    <w:rPr>
                      <w:rFonts w:ascii="Cambria" w:hAnsi="Cambria"/>
                      <w:color w:val="000000"/>
                      <w:sz w:val="12"/>
                      <w:szCs w:val="12"/>
                    </w:rPr>
                    <w:t> </w:t>
                  </w:r>
                </w:p>
              </w:tc>
            </w:tr>
          </w:tbl>
          <w:p w:rsidR="00570E14" w:rsidRDefault="00570E14">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 </w:t>
            </w:r>
          </w:p>
        </w:tc>
      </w:tr>
    </w:tbl>
    <w:p w:rsidR="00570E14" w:rsidRDefault="00570E14" w:rsidP="00FA5C96">
      <w:pPr>
        <w:spacing w:line="360" w:lineRule="auto"/>
        <w:ind w:firstLine="708"/>
        <w:rPr>
          <w:b/>
        </w:rPr>
      </w:pPr>
    </w:p>
    <w:p w:rsidR="00570E14" w:rsidRDefault="00570E14" w:rsidP="00FA5C96">
      <w:pPr>
        <w:spacing w:line="360" w:lineRule="auto"/>
        <w:ind w:firstLine="708"/>
        <w:rPr>
          <w:b/>
        </w:rPr>
      </w:pPr>
      <w:r>
        <w:rPr>
          <w:b/>
        </w:rPr>
        <w:t>Penale</w:t>
      </w: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570E14">
        <w:trPr>
          <w:tblCellSpacing w:w="0" w:type="dxa"/>
        </w:trPr>
        <w:tc>
          <w:tcPr>
            <w:tcW w:w="5000" w:type="pct"/>
            <w:shd w:val="clear" w:color="auto" w:fill="153E6C"/>
            <w:noWrap/>
            <w:tcMar>
              <w:top w:w="15" w:type="dxa"/>
              <w:left w:w="15" w:type="dxa"/>
              <w:bottom w:w="15" w:type="dxa"/>
              <w:right w:w="15" w:type="dxa"/>
            </w:tcMar>
            <w:vAlign w:val="center"/>
            <w:hideMark/>
          </w:tcPr>
          <w:p w:rsidR="00570E14" w:rsidRDefault="00570E14">
            <w:pPr>
              <w:jc w:val="center"/>
              <w:rPr>
                <w:rFonts w:ascii="Tahoma" w:hAnsi="Tahoma" w:cs="Tahoma"/>
                <w:b/>
                <w:bCs/>
                <w:color w:val="F9F9F9"/>
                <w:sz w:val="17"/>
                <w:szCs w:val="17"/>
              </w:rPr>
            </w:pPr>
          </w:p>
        </w:tc>
        <w:tc>
          <w:tcPr>
            <w:tcW w:w="0" w:type="auto"/>
            <w:vAlign w:val="center"/>
            <w:hideMark/>
          </w:tcPr>
          <w:p w:rsidR="00570E14"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9" name="Imagine 39"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70E14" w:rsidRDefault="00570E14" w:rsidP="00570E14">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68"/>
        <w:gridCol w:w="1021"/>
        <w:gridCol w:w="1113"/>
        <w:gridCol w:w="1058"/>
        <w:gridCol w:w="449"/>
        <w:gridCol w:w="449"/>
        <w:gridCol w:w="449"/>
        <w:gridCol w:w="449"/>
      </w:tblGrid>
      <w:tr w:rsidR="00570E14">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570E14">
        <w:trPr>
          <w:tblCellSpacing w:w="0" w:type="dxa"/>
        </w:trPr>
        <w:tc>
          <w:tcPr>
            <w:tcW w:w="0" w:type="auto"/>
            <w:vMerge/>
            <w:tcBorders>
              <w:bottom w:val="single" w:sz="6" w:space="0" w:color="FFFFFF"/>
              <w:right w:val="single" w:sz="6" w:space="0" w:color="FFFFFF"/>
            </w:tcBorders>
            <w:vAlign w:val="center"/>
            <w:hideMark/>
          </w:tcPr>
          <w:p w:rsidR="00570E14" w:rsidRDefault="00570E1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70E14" w:rsidRDefault="00570E14">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570E14" w:rsidRDefault="00570E14">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70E14" w:rsidRDefault="00570E14">
            <w:pPr>
              <w:jc w:val="center"/>
              <w:rPr>
                <w:rFonts w:ascii="Tahoma" w:hAnsi="Tahoma" w:cs="Tahoma"/>
                <w:b/>
                <w:bCs/>
                <w:color w:val="000000"/>
                <w:sz w:val="17"/>
                <w:szCs w:val="17"/>
              </w:rPr>
            </w:pPr>
            <w:r>
              <w:rPr>
                <w:rFonts w:ascii="Tahoma" w:hAnsi="Tahoma" w:cs="Tahoma"/>
                <w:b/>
                <w:bCs/>
                <w:color w:val="000000"/>
                <w:sz w:val="17"/>
                <w:szCs w:val="17"/>
              </w:rPr>
              <w:t>I</w:t>
            </w:r>
          </w:p>
        </w:tc>
      </w:tr>
      <w:tr w:rsidR="00570E14">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rPr>
                <w:rFonts w:ascii="Cambria" w:hAnsi="Cambria"/>
                <w:color w:val="000000"/>
                <w:sz w:val="21"/>
                <w:szCs w:val="21"/>
              </w:rPr>
            </w:pPr>
            <w:r>
              <w:rPr>
                <w:rFonts w:ascii="Cambria" w:hAnsi="Cambria"/>
                <w:color w:val="000000"/>
                <w:sz w:val="21"/>
                <w:szCs w:val="21"/>
              </w:rPr>
              <w:t>Judecatoria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1202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1137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CC0000"/>
                <w:sz w:val="21"/>
                <w:szCs w:val="21"/>
              </w:rPr>
            </w:pPr>
            <w:r>
              <w:rPr>
                <w:rFonts w:ascii="Cambria" w:hAnsi="Cambria"/>
                <w:color w:val="CC0000"/>
                <w:sz w:val="21"/>
                <w:szCs w:val="21"/>
              </w:rPr>
              <w:t>94,6%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70E14">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70E14" w:rsidRDefault="00570E14">
                  <w:pPr>
                    <w:rPr>
                      <w:rFonts w:ascii="Cambria" w:hAnsi="Cambria"/>
                      <w:color w:val="000000"/>
                      <w:sz w:val="12"/>
                      <w:szCs w:val="12"/>
                    </w:rPr>
                  </w:pPr>
                  <w:r>
                    <w:rPr>
                      <w:rFonts w:ascii="Cambria" w:hAnsi="Cambria"/>
                      <w:color w:val="000000"/>
                      <w:sz w:val="12"/>
                      <w:szCs w:val="12"/>
                    </w:rPr>
                    <w:t> </w:t>
                  </w:r>
                </w:p>
              </w:tc>
            </w:tr>
          </w:tbl>
          <w:p w:rsidR="00570E14" w:rsidRDefault="00570E14">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70E14" w:rsidRDefault="00570E14">
            <w:pPr>
              <w:jc w:val="center"/>
              <w:rPr>
                <w:rFonts w:ascii="Cambria" w:hAnsi="Cambria"/>
                <w:color w:val="000000"/>
                <w:sz w:val="21"/>
                <w:szCs w:val="21"/>
              </w:rPr>
            </w:pPr>
            <w:r>
              <w:rPr>
                <w:rFonts w:ascii="Cambria" w:hAnsi="Cambria"/>
                <w:color w:val="000000"/>
                <w:sz w:val="21"/>
                <w:szCs w:val="21"/>
              </w:rPr>
              <w:t> </w:t>
            </w:r>
          </w:p>
        </w:tc>
      </w:tr>
    </w:tbl>
    <w:p w:rsidR="00570E14" w:rsidRDefault="00570E14" w:rsidP="00FA5C96">
      <w:pPr>
        <w:spacing w:line="360" w:lineRule="auto"/>
        <w:ind w:firstLine="708"/>
        <w:rPr>
          <w:b/>
        </w:rPr>
      </w:pPr>
    </w:p>
    <w:p w:rsidR="00570E14" w:rsidRDefault="00570E14" w:rsidP="00FA5C96">
      <w:pPr>
        <w:spacing w:line="360" w:lineRule="auto"/>
        <w:ind w:firstLine="708"/>
        <w:rPr>
          <w:b/>
        </w:rPr>
      </w:pPr>
    </w:p>
    <w:p w:rsidR="00787797" w:rsidRDefault="00787797" w:rsidP="00FA5C96">
      <w:pPr>
        <w:spacing w:line="360" w:lineRule="auto"/>
        <w:ind w:firstLine="708"/>
        <w:rPr>
          <w:b/>
        </w:rPr>
      </w:pPr>
      <w:r w:rsidRPr="00787797">
        <w:rPr>
          <w:b/>
        </w:rPr>
        <w:t>E4. Durata medie de soluţionare</w:t>
      </w:r>
    </w:p>
    <w:p w:rsidR="00787797" w:rsidRPr="00787797" w:rsidRDefault="00787797" w:rsidP="00FA5C96">
      <w:pPr>
        <w:spacing w:line="360" w:lineRule="auto"/>
        <w:ind w:firstLine="708"/>
        <w:jc w:val="both"/>
      </w:pPr>
      <w:r w:rsidRPr="00787797">
        <w:t xml:space="preserve">Durata medie de soluţionare în materiile non penal  a fost de </w:t>
      </w:r>
      <w:r>
        <w:t>3,</w:t>
      </w:r>
      <w:r w:rsidR="0054491F">
        <w:t>6</w:t>
      </w:r>
      <w:r w:rsidRPr="00787797">
        <w:t xml:space="preserve"> luni, instanţa încadrându-se în gradul „</w:t>
      </w:r>
      <w:r w:rsidRPr="00787797">
        <w:rPr>
          <w:b/>
        </w:rPr>
        <w:t>Foarte eficient</w:t>
      </w:r>
      <w:r w:rsidRPr="00787797">
        <w:t>".</w:t>
      </w:r>
    </w:p>
    <w:p w:rsidR="00787797" w:rsidRDefault="00787797" w:rsidP="00FA5C96">
      <w:pPr>
        <w:spacing w:line="360" w:lineRule="auto"/>
        <w:ind w:firstLine="708"/>
        <w:jc w:val="both"/>
      </w:pPr>
      <w:r w:rsidRPr="00787797">
        <w:t xml:space="preserve">În penal, această durată a fost de </w:t>
      </w:r>
      <w:r w:rsidR="0054491F">
        <w:t>3</w:t>
      </w:r>
      <w:r w:rsidRPr="00787797">
        <w:t>,</w:t>
      </w:r>
      <w:proofErr w:type="spellStart"/>
      <w:r w:rsidR="0054491F">
        <w:t>3</w:t>
      </w:r>
      <w:proofErr w:type="spellEnd"/>
      <w:r w:rsidRPr="00787797">
        <w:t xml:space="preserve"> luni, instanţa încadrându-se în gradul „</w:t>
      </w:r>
      <w:r w:rsidRPr="00787797">
        <w:rPr>
          <w:b/>
        </w:rPr>
        <w:t>Foarte eficient</w:t>
      </w:r>
      <w:r w:rsidRPr="00787797">
        <w:t>".</w:t>
      </w:r>
    </w:p>
    <w:p w:rsidR="00FA5C96" w:rsidRDefault="00FA5C96" w:rsidP="00787797">
      <w:pPr>
        <w:ind w:firstLine="708"/>
        <w:jc w:val="both"/>
        <w:rPr>
          <w:rFonts w:ascii="Garamond" w:hAnsi="Garamond"/>
        </w:rPr>
      </w:pPr>
    </w:p>
    <w:p w:rsidR="00FA5C96" w:rsidRDefault="00FA5C96" w:rsidP="00FA5C96">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9072"/>
        <w:gridCol w:w="15"/>
      </w:tblGrid>
      <w:tr w:rsidR="0054491F">
        <w:trPr>
          <w:tblCellSpacing w:w="0" w:type="dxa"/>
        </w:trPr>
        <w:tc>
          <w:tcPr>
            <w:tcW w:w="5000" w:type="pct"/>
            <w:shd w:val="clear" w:color="auto" w:fill="153E6C"/>
            <w:noWrap/>
            <w:tcMar>
              <w:top w:w="15" w:type="dxa"/>
              <w:left w:w="15" w:type="dxa"/>
              <w:bottom w:w="15" w:type="dxa"/>
              <w:right w:w="15" w:type="dxa"/>
            </w:tcMar>
            <w:vAlign w:val="center"/>
            <w:hideMark/>
          </w:tcPr>
          <w:p w:rsidR="0054491F" w:rsidRDefault="0054491F">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54491F"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40" name="Imagine 4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4491F" w:rsidRDefault="0054491F" w:rsidP="0054491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8"/>
        <w:gridCol w:w="2243"/>
        <w:gridCol w:w="592"/>
        <w:gridCol w:w="600"/>
        <w:gridCol w:w="1039"/>
        <w:gridCol w:w="852"/>
        <w:gridCol w:w="1192"/>
        <w:gridCol w:w="508"/>
        <w:gridCol w:w="446"/>
        <w:gridCol w:w="446"/>
        <w:gridCol w:w="446"/>
      </w:tblGrid>
      <w:tr w:rsidR="0054491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ORDINE</w:t>
            </w:r>
          </w:p>
        </w:tc>
        <w:tc>
          <w:tcPr>
            <w:tcW w:w="22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rPr>
                <w:rFonts w:ascii="Tahoma" w:hAnsi="Tahoma" w:cs="Tahoma"/>
                <w:b/>
                <w:bCs/>
                <w:color w:val="000000"/>
                <w:sz w:val="17"/>
                <w:szCs w:val="17"/>
              </w:rPr>
            </w:pPr>
            <w:r>
              <w:rPr>
                <w:rFonts w:ascii="Tahoma" w:hAnsi="Tahoma" w:cs="Tahoma"/>
                <w:b/>
                <w:bCs/>
                <w:color w:val="000000"/>
                <w:sz w:val="17"/>
                <w:szCs w:val="17"/>
              </w:rPr>
              <w:t>DENUMIRE JUDECATORIE</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54491F">
        <w:trPr>
          <w:tblCellSpacing w:w="0" w:type="dxa"/>
        </w:trPr>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I</w:t>
            </w:r>
          </w:p>
        </w:tc>
      </w:tr>
      <w:tr w:rsidR="0054491F">
        <w:trPr>
          <w:tblCellSpacing w:w="0" w:type="dxa"/>
        </w:trPr>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tcBorders>
            <w:vAlign w:val="center"/>
            <w:hideMark/>
          </w:tcPr>
          <w:p w:rsidR="0054491F" w:rsidRDefault="0054491F">
            <w:pPr>
              <w:rPr>
                <w:rFonts w:ascii="Tahoma" w:hAnsi="Tahoma" w:cs="Tahoma"/>
                <w:b/>
                <w:bCs/>
                <w:color w:val="000000"/>
                <w:sz w:val="17"/>
                <w:szCs w:val="17"/>
              </w:rPr>
            </w:pPr>
          </w:p>
        </w:tc>
      </w:tr>
      <w:tr w:rsidR="0054491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1</w:t>
            </w:r>
          </w:p>
        </w:tc>
        <w:tc>
          <w:tcPr>
            <w:tcW w:w="22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rPr>
                <w:rFonts w:ascii="Cambria" w:hAnsi="Cambria"/>
                <w:color w:val="000000"/>
                <w:sz w:val="21"/>
                <w:szCs w:val="21"/>
              </w:rPr>
            </w:pPr>
            <w:r>
              <w:rPr>
                <w:rFonts w:ascii="Cambria" w:hAnsi="Cambria"/>
                <w:color w:val="000000"/>
                <w:sz w:val="21"/>
                <w:szCs w:val="21"/>
              </w:rPr>
              <w:t>Judecatoria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8000"/>
                <w:sz w:val="21"/>
                <w:szCs w:val="21"/>
              </w:rPr>
            </w:pPr>
            <w:r>
              <w:rPr>
                <w:rFonts w:ascii="Cambria" w:hAnsi="Cambria"/>
                <w:color w:val="008000"/>
                <w:sz w:val="21"/>
                <w:szCs w:val="21"/>
              </w:rPr>
              <w:t>4826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CC0000"/>
                <w:sz w:val="21"/>
                <w:szCs w:val="21"/>
              </w:rPr>
            </w:pPr>
            <w:r>
              <w:rPr>
                <w:rFonts w:ascii="Cambria" w:hAnsi="Cambria"/>
                <w:color w:val="CC0000"/>
                <w:sz w:val="21"/>
                <w:szCs w:val="21"/>
              </w:rPr>
              <w:t>1202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FF"/>
                <w:sz w:val="21"/>
                <w:szCs w:val="21"/>
              </w:rPr>
            </w:pPr>
            <w:r>
              <w:rPr>
                <w:rFonts w:ascii="Cambria" w:hAnsi="Cambria"/>
                <w:color w:val="0000FF"/>
                <w:sz w:val="21"/>
                <w:szCs w:val="21"/>
              </w:rPr>
              <w:t>3624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CC0000"/>
                <w:sz w:val="21"/>
                <w:szCs w:val="21"/>
              </w:rPr>
            </w:pPr>
            <w:r>
              <w:rPr>
                <w:rFonts w:ascii="Cambria" w:hAnsi="Cambria"/>
                <w:color w:val="CC0000"/>
                <w:sz w:val="21"/>
                <w:szCs w:val="21"/>
              </w:rPr>
              <w:t>3,</w:t>
            </w:r>
            <w:proofErr w:type="spellStart"/>
            <w:r>
              <w:rPr>
                <w:rFonts w:ascii="Cambria" w:hAnsi="Cambria"/>
                <w:color w:val="CC0000"/>
                <w:sz w:val="21"/>
                <w:szCs w:val="21"/>
              </w:rPr>
              <w:t>3</w:t>
            </w:r>
            <w:proofErr w:type="spellEnd"/>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FF"/>
                <w:sz w:val="21"/>
                <w:szCs w:val="21"/>
              </w:rPr>
            </w:pPr>
            <w:r>
              <w:rPr>
                <w:rFonts w:ascii="Cambria" w:hAnsi="Cambria"/>
                <w:color w:val="0000FF"/>
                <w:sz w:val="21"/>
                <w:szCs w:val="21"/>
              </w:rPr>
              <w:t>3,6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4"/>
              <w:gridCol w:w="223"/>
            </w:tblGrid>
            <w:tr w:rsidR="0054491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4491F" w:rsidRDefault="0054491F">
                  <w:pPr>
                    <w:jc w:val="center"/>
                    <w:rPr>
                      <w:rFonts w:ascii="Cambria" w:hAnsi="Cambria"/>
                      <w:color w:val="000000"/>
                      <w:sz w:val="17"/>
                      <w:szCs w:val="17"/>
                    </w:rPr>
                  </w:pPr>
                  <w:r>
                    <w:rPr>
                      <w:rFonts w:ascii="Cambria" w:hAnsi="Cambria"/>
                      <w:color w:val="000000"/>
                      <w:sz w:val="17"/>
                      <w:szCs w:val="17"/>
                    </w:rPr>
                    <w:t> </w:t>
                  </w:r>
                </w:p>
              </w:tc>
            </w:tr>
            <w:tr w:rsidR="0054491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C</w:t>
                  </w:r>
                </w:p>
              </w:tc>
            </w:tr>
          </w:tbl>
          <w:p w:rsidR="0054491F" w:rsidRDefault="0054491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
            </w:tblGrid>
            <w:tr w:rsidR="0054491F">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r>
            <w:tr w:rsidR="0054491F">
              <w:trPr>
                <w:trHeight w:val="246"/>
                <w:tblCellSpacing w:w="15" w:type="dxa"/>
                <w:jc w:val="center"/>
              </w:trPr>
              <w:tc>
                <w:tcPr>
                  <w:tcW w:w="0" w:type="auto"/>
                  <w:vMerge/>
                  <w:tcBorders>
                    <w:top w:val="nil"/>
                    <w:left w:val="nil"/>
                    <w:bottom w:val="nil"/>
                    <w:right w:val="nil"/>
                  </w:tcBorders>
                  <w:vAlign w:val="center"/>
                  <w:hideMark/>
                </w:tcPr>
                <w:p w:rsidR="0054491F" w:rsidRDefault="0054491F">
                  <w:pPr>
                    <w:rPr>
                      <w:rFonts w:ascii="Cambria" w:hAnsi="Cambria"/>
                      <w:color w:val="000000"/>
                      <w:sz w:val="21"/>
                      <w:szCs w:val="21"/>
                    </w:rPr>
                  </w:pPr>
                </w:p>
              </w:tc>
            </w:tr>
          </w:tbl>
          <w:p w:rsidR="0054491F" w:rsidRDefault="0054491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
            </w:tblGrid>
            <w:tr w:rsidR="0054491F">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r>
            <w:tr w:rsidR="0054491F">
              <w:trPr>
                <w:trHeight w:val="246"/>
                <w:tblCellSpacing w:w="15" w:type="dxa"/>
                <w:jc w:val="center"/>
              </w:trPr>
              <w:tc>
                <w:tcPr>
                  <w:tcW w:w="0" w:type="auto"/>
                  <w:vMerge/>
                  <w:tcBorders>
                    <w:top w:val="nil"/>
                    <w:left w:val="nil"/>
                    <w:bottom w:val="nil"/>
                    <w:right w:val="nil"/>
                  </w:tcBorders>
                  <w:vAlign w:val="center"/>
                  <w:hideMark/>
                </w:tcPr>
                <w:p w:rsidR="0054491F" w:rsidRDefault="0054491F">
                  <w:pPr>
                    <w:rPr>
                      <w:rFonts w:ascii="Cambria" w:hAnsi="Cambria"/>
                      <w:color w:val="000000"/>
                      <w:sz w:val="21"/>
                      <w:szCs w:val="21"/>
                    </w:rPr>
                  </w:pPr>
                </w:p>
              </w:tc>
            </w:tr>
          </w:tbl>
          <w:p w:rsidR="0054491F" w:rsidRDefault="0054491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6"/>
            </w:tblGrid>
            <w:tr w:rsidR="0054491F">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r>
            <w:tr w:rsidR="0054491F">
              <w:trPr>
                <w:trHeight w:val="246"/>
                <w:tblCellSpacing w:w="15" w:type="dxa"/>
                <w:jc w:val="center"/>
              </w:trPr>
              <w:tc>
                <w:tcPr>
                  <w:tcW w:w="0" w:type="auto"/>
                  <w:vMerge/>
                  <w:tcBorders>
                    <w:top w:val="nil"/>
                    <w:left w:val="nil"/>
                    <w:bottom w:val="nil"/>
                    <w:right w:val="nil"/>
                  </w:tcBorders>
                  <w:vAlign w:val="center"/>
                  <w:hideMark/>
                </w:tcPr>
                <w:p w:rsidR="0054491F" w:rsidRDefault="0054491F">
                  <w:pPr>
                    <w:rPr>
                      <w:rFonts w:ascii="Cambria" w:hAnsi="Cambria"/>
                      <w:color w:val="000000"/>
                      <w:sz w:val="21"/>
                      <w:szCs w:val="21"/>
                    </w:rPr>
                  </w:pPr>
                </w:p>
              </w:tc>
            </w:tr>
          </w:tbl>
          <w:p w:rsidR="0054491F" w:rsidRDefault="0054491F">
            <w:pPr>
              <w:jc w:val="center"/>
              <w:rPr>
                <w:rFonts w:ascii="Cambria" w:hAnsi="Cambria"/>
                <w:color w:val="000000"/>
                <w:sz w:val="21"/>
                <w:szCs w:val="21"/>
              </w:rPr>
            </w:pPr>
          </w:p>
        </w:tc>
      </w:tr>
    </w:tbl>
    <w:p w:rsidR="00FA5C96" w:rsidRPr="00787797" w:rsidRDefault="00FA5C96" w:rsidP="00787797">
      <w:pPr>
        <w:ind w:firstLine="708"/>
        <w:jc w:val="both"/>
        <w:rPr>
          <w:rFonts w:ascii="Garamond" w:hAnsi="Garamond"/>
        </w:rPr>
      </w:pPr>
    </w:p>
    <w:p w:rsidR="00FD028A" w:rsidRDefault="00FD028A" w:rsidP="00064718">
      <w:pPr>
        <w:spacing w:line="360" w:lineRule="auto"/>
        <w:ind w:right="-108" w:firstLine="540"/>
        <w:jc w:val="both"/>
      </w:pPr>
    </w:p>
    <w:p w:rsidR="00064718" w:rsidRPr="00E0463E" w:rsidRDefault="00064718" w:rsidP="00064718">
      <w:pPr>
        <w:spacing w:line="360" w:lineRule="auto"/>
        <w:ind w:right="-108" w:firstLine="540"/>
        <w:jc w:val="both"/>
      </w:pPr>
      <w:r w:rsidRPr="00E0463E">
        <w:lastRenderedPageBreak/>
        <w:t>Urmărindu-se reducerea duratei de soluţionare a dosarelor  în urma analizei făcute la nivelul instanţei au fost identificate cauzele ce au determinat soluţionarea cu întârziere a dosarelor,</w:t>
      </w:r>
      <w:r>
        <w:t xml:space="preserve"> </w:t>
      </w:r>
      <w:r w:rsidRPr="00E0463E">
        <w:t>acestea privind nu numai atitudinea părţilor şi a celorlalţi participanţi la proces dar şi atitudinea instanţei de judecată,</w:t>
      </w:r>
      <w:r>
        <w:t xml:space="preserve"> </w:t>
      </w:r>
      <w:r w:rsidRPr="00E0463E">
        <w:t>astfel că s-a stabilit un plan comun de management al dosarelor vechi şi care are drept scop nu numai respectarea normelor procedurale dar şi responsabilizarea părţilor şi a celorlalţi participanţi la procesul civil.</w:t>
      </w:r>
    </w:p>
    <w:p w:rsidR="00064718" w:rsidRPr="00E0463E" w:rsidRDefault="00064718" w:rsidP="00064718">
      <w:pPr>
        <w:spacing w:line="360" w:lineRule="auto"/>
        <w:ind w:firstLine="540"/>
        <w:jc w:val="both"/>
      </w:pPr>
      <w:r w:rsidRPr="00E0463E">
        <w:t xml:space="preserve">Referitor la dosarele mai vechi, de la data primei înregistrări în sistem, se constată că, la judecătoria </w:t>
      </w:r>
      <w:proofErr w:type="spellStart"/>
      <w:r w:rsidRPr="00E0463E">
        <w:t>Vînju</w:t>
      </w:r>
      <w:proofErr w:type="spellEnd"/>
      <w:r w:rsidRPr="00E0463E">
        <w:t xml:space="preserve"> Mare, la sfârşitul anului 201</w:t>
      </w:r>
      <w:r>
        <w:t>7 la nivelul instanței nu sunt pe rol dosare mai</w:t>
      </w:r>
      <w:r w:rsidRPr="00E0463E">
        <w:t xml:space="preserve"> vechi de 5 ani sau</w:t>
      </w:r>
      <w:r>
        <w:t xml:space="preserve"> </w:t>
      </w:r>
      <w:r w:rsidRPr="00E0463E">
        <w:t>10 ani .</w:t>
      </w:r>
    </w:p>
    <w:p w:rsidR="00064718" w:rsidRPr="00E0463E" w:rsidRDefault="00064718" w:rsidP="00064718">
      <w:pPr>
        <w:spacing w:line="360" w:lineRule="auto"/>
        <w:ind w:firstLine="540"/>
        <w:jc w:val="both"/>
      </w:pPr>
      <w:r w:rsidRPr="00E0463E">
        <w:t>Considerăm că actuala dura</w:t>
      </w:r>
      <w:r>
        <w:t>t</w:t>
      </w:r>
      <w:r w:rsidRPr="00E0463E">
        <w:t xml:space="preserve">ă medie de soluţionare a cauzelor la nivelul instanţei este rezonabilă în funcţie de condiţiile concrete de funcţionare a sistemului judiciar şi, în </w:t>
      </w:r>
      <w:r>
        <w:t>p</w:t>
      </w:r>
      <w:r w:rsidRPr="00E0463E">
        <w:t>articular, a instanţei.</w:t>
      </w:r>
    </w:p>
    <w:p w:rsidR="00064718" w:rsidRDefault="00787797" w:rsidP="001C4AC7">
      <w:pPr>
        <w:jc w:val="both"/>
        <w:rPr>
          <w:b/>
        </w:rPr>
      </w:pPr>
      <w:r>
        <w:rPr>
          <w:b/>
        </w:rPr>
        <w:tab/>
      </w:r>
    </w:p>
    <w:p w:rsidR="00787797" w:rsidRDefault="00787797" w:rsidP="00491FD0">
      <w:pPr>
        <w:ind w:firstLine="540"/>
        <w:jc w:val="both"/>
        <w:rPr>
          <w:b/>
        </w:rPr>
      </w:pPr>
      <w:r w:rsidRPr="00787797">
        <w:rPr>
          <w:b/>
        </w:rPr>
        <w:t>E5. Redactările peste termenul  legal</w:t>
      </w:r>
    </w:p>
    <w:p w:rsidR="00FB7298" w:rsidRPr="00787797" w:rsidRDefault="00FB7298" w:rsidP="001C4AC7">
      <w:pPr>
        <w:jc w:val="both"/>
        <w:rPr>
          <w:b/>
        </w:rPr>
      </w:pPr>
    </w:p>
    <w:p w:rsidR="00787797" w:rsidRDefault="00787797" w:rsidP="00787797">
      <w:pPr>
        <w:spacing w:line="360" w:lineRule="auto"/>
        <w:ind w:firstLine="708"/>
        <w:jc w:val="both"/>
      </w:pPr>
      <w:r w:rsidRPr="00787797">
        <w:t>În perioada de referinţă, din totalul de</w:t>
      </w:r>
      <w:r>
        <w:t xml:space="preserve"> 3</w:t>
      </w:r>
      <w:r w:rsidR="0054491F">
        <w:t>100</w:t>
      </w:r>
      <w:r w:rsidRPr="00787797">
        <w:t xml:space="preserve"> </w:t>
      </w:r>
      <w:r w:rsidR="00BB65FB">
        <w:t>hotărâri</w:t>
      </w:r>
      <w:r w:rsidRPr="00787797">
        <w:t xml:space="preserve">, un număr de </w:t>
      </w:r>
      <w:r w:rsidR="00FB7298">
        <w:t>144</w:t>
      </w:r>
      <w:r w:rsidRPr="00787797">
        <w:t xml:space="preserve"> dosare au fost redactate peste termen, </w:t>
      </w:r>
      <w:r>
        <w:t xml:space="preserve">reprezentând o pondere de </w:t>
      </w:r>
      <w:r w:rsidR="00FB7298">
        <w:t>4</w:t>
      </w:r>
      <w:r>
        <w:t>,</w:t>
      </w:r>
      <w:r w:rsidR="00FB7298">
        <w:t>6</w:t>
      </w:r>
      <w:r>
        <w:t xml:space="preserve"> %, </w:t>
      </w:r>
      <w:r w:rsidRPr="00787797">
        <w:t>determinând încadrarea instanţei în gradul „</w:t>
      </w:r>
      <w:r w:rsidRPr="00787797">
        <w:rPr>
          <w:b/>
        </w:rPr>
        <w:t>Foarte eficient</w:t>
      </w:r>
      <w:r w:rsidRPr="00787797">
        <w:t>".</w:t>
      </w:r>
    </w:p>
    <w:p w:rsidR="00FA5C96" w:rsidRDefault="00FA5C96" w:rsidP="00787797">
      <w:pPr>
        <w:spacing w:line="360" w:lineRule="auto"/>
        <w:ind w:firstLine="708"/>
        <w:jc w:val="both"/>
      </w:pPr>
    </w:p>
    <w:p w:rsidR="00787797" w:rsidRDefault="00787797" w:rsidP="00787797">
      <w:pPr>
        <w:rPr>
          <w:rFonts w:ascii="Cambria" w:hAnsi="Cambria"/>
          <w:vanish/>
          <w:color w:val="000000"/>
          <w:sz w:val="21"/>
          <w:szCs w:val="21"/>
        </w:rPr>
      </w:pPr>
    </w:p>
    <w:tbl>
      <w:tblPr>
        <w:tblW w:w="5000" w:type="pct"/>
        <w:tblCellSpacing w:w="7" w:type="dxa"/>
        <w:tblCellMar>
          <w:left w:w="0" w:type="dxa"/>
          <w:right w:w="0" w:type="dxa"/>
        </w:tblCellMar>
        <w:tblLook w:val="04A0" w:firstRow="1" w:lastRow="0" w:firstColumn="1" w:lastColumn="0" w:noHBand="0" w:noVBand="1"/>
      </w:tblPr>
      <w:tblGrid>
        <w:gridCol w:w="9100"/>
      </w:tblGrid>
      <w:tr w:rsidR="0054491F">
        <w:trPr>
          <w:tblCellSpacing w:w="7" w:type="dxa"/>
        </w:trPr>
        <w:tc>
          <w:tcPr>
            <w:tcW w:w="0" w:type="auto"/>
            <w:vAlign w:val="center"/>
            <w:hideMark/>
          </w:tcPr>
          <w:p w:rsidR="0054491F" w:rsidRDefault="0054491F">
            <w:pPr>
              <w:rPr>
                <w:rFonts w:ascii="Cambria" w:hAnsi="Cambria"/>
                <w:color w:val="000000"/>
                <w:sz w:val="21"/>
                <w:szCs w:val="21"/>
              </w:rPr>
            </w:pPr>
          </w:p>
        </w:tc>
      </w:tr>
      <w:tr w:rsidR="0054491F">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54491F">
              <w:trPr>
                <w:tblCellSpacing w:w="0" w:type="dxa"/>
              </w:trPr>
              <w:tc>
                <w:tcPr>
                  <w:tcW w:w="0" w:type="auto"/>
                  <w:vAlign w:val="center"/>
                  <w:hideMark/>
                </w:tcPr>
                <w:p w:rsidR="0054491F" w:rsidRDefault="0054491F">
                  <w:pPr>
                    <w:rPr>
                      <w:rFonts w:ascii="Cambria" w:hAnsi="Cambria"/>
                      <w:color w:val="000000"/>
                      <w:sz w:val="21"/>
                      <w:szCs w:val="21"/>
                    </w:rPr>
                  </w:pPr>
                </w:p>
              </w:tc>
            </w:tr>
            <w:tr w:rsidR="0054491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54491F">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54491F">
                          <w:trPr>
                            <w:tblCellSpacing w:w="0" w:type="dxa"/>
                          </w:trPr>
                          <w:tc>
                            <w:tcPr>
                              <w:tcW w:w="0" w:type="auto"/>
                              <w:vAlign w:val="center"/>
                              <w:hideMark/>
                            </w:tcPr>
                            <w:p w:rsidR="0054491F"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41" name="Imagine 4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54491F" w:rsidRDefault="0054491F">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54491F"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42" name="Imagine 4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4491F" w:rsidRDefault="0054491F">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98"/>
                          <w:gridCol w:w="1796"/>
                          <w:gridCol w:w="482"/>
                          <w:gridCol w:w="646"/>
                          <w:gridCol w:w="899"/>
                          <w:gridCol w:w="1027"/>
                          <w:gridCol w:w="1119"/>
                          <w:gridCol w:w="861"/>
                          <w:gridCol w:w="501"/>
                          <w:gridCol w:w="382"/>
                          <w:gridCol w:w="382"/>
                          <w:gridCol w:w="379"/>
                        </w:tblGrid>
                        <w:tr w:rsidR="0054491F">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rPr>
                                  <w:rFonts w:ascii="Tahoma" w:hAnsi="Tahoma" w:cs="Tahoma"/>
                                  <w:b/>
                                  <w:bCs/>
                                  <w:color w:val="000000"/>
                                  <w:sz w:val="17"/>
                                  <w:szCs w:val="17"/>
                                </w:rPr>
                              </w:pPr>
                              <w:r>
                                <w:rPr>
                                  <w:rFonts w:ascii="Tahoma" w:hAnsi="Tahoma" w:cs="Tahoma"/>
                                  <w:b/>
                                  <w:bCs/>
                                  <w:color w:val="000000"/>
                                  <w:sz w:val="17"/>
                                  <w:szCs w:val="17"/>
                                </w:rPr>
                                <w:t>DENUMIRE JUDECATORIE</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TERMEN MEDIU</w:t>
                              </w:r>
                              <w:r>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54491F">
                          <w:trPr>
                            <w:tblCellSpacing w:w="0" w:type="dxa"/>
                          </w:trPr>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I</w:t>
                              </w:r>
                            </w:p>
                          </w:tc>
                        </w:tr>
                        <w:tr w:rsidR="0054491F">
                          <w:trPr>
                            <w:tblCellSpacing w:w="0" w:type="dxa"/>
                          </w:trPr>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NUMAR</w:t>
                              </w:r>
                              <w:r>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4491F" w:rsidRDefault="0054491F">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4491F" w:rsidRDefault="0054491F">
                              <w:pPr>
                                <w:rPr>
                                  <w:rFonts w:ascii="Tahoma" w:hAnsi="Tahoma" w:cs="Tahoma"/>
                                  <w:b/>
                                  <w:bCs/>
                                  <w:color w:val="000000"/>
                                  <w:sz w:val="17"/>
                                  <w:szCs w:val="17"/>
                                </w:rPr>
                              </w:pPr>
                            </w:p>
                          </w:tc>
                          <w:tc>
                            <w:tcPr>
                              <w:tcW w:w="0" w:type="auto"/>
                              <w:vMerge/>
                              <w:tcBorders>
                                <w:bottom w:val="single" w:sz="6" w:space="0" w:color="FFFFFF"/>
                              </w:tcBorders>
                              <w:vAlign w:val="center"/>
                              <w:hideMark/>
                            </w:tcPr>
                            <w:p w:rsidR="0054491F" w:rsidRDefault="0054491F">
                              <w:pPr>
                                <w:rPr>
                                  <w:rFonts w:ascii="Tahoma" w:hAnsi="Tahoma" w:cs="Tahoma"/>
                                  <w:b/>
                                  <w:bCs/>
                                  <w:color w:val="000000"/>
                                  <w:sz w:val="17"/>
                                  <w:szCs w:val="17"/>
                                </w:rPr>
                              </w:pPr>
                            </w:p>
                          </w:tc>
                        </w:tr>
                        <w:tr w:rsidR="0054491F">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rPr>
                                  <w:rFonts w:ascii="Cambria" w:hAnsi="Cambria"/>
                                  <w:color w:val="000000"/>
                                  <w:sz w:val="21"/>
                                  <w:szCs w:val="21"/>
                                </w:rPr>
                              </w:pPr>
                              <w:r>
                                <w:rPr>
                                  <w:rFonts w:ascii="Cambria" w:hAnsi="Cambria"/>
                                  <w:color w:val="000000"/>
                                  <w:sz w:val="21"/>
                                  <w:szCs w:val="21"/>
                                </w:rPr>
                                <w:t>Judecatoria VANJU MARE</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3101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144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CC0000"/>
                                  <w:sz w:val="21"/>
                                  <w:szCs w:val="21"/>
                                </w:rPr>
                              </w:pPr>
                              <w:r>
                                <w:rPr>
                                  <w:rFonts w:ascii="Cambria" w:hAnsi="Cambria"/>
                                  <w:color w:val="CC0000"/>
                                  <w:sz w:val="21"/>
                                  <w:szCs w:val="21"/>
                                </w:rPr>
                                <w:t>4,6%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60,9</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8000"/>
                                  <w:sz w:val="21"/>
                                  <w:szCs w:val="21"/>
                                </w:rPr>
                              </w:pPr>
                              <w:r>
                                <w:rPr>
                                  <w:rFonts w:ascii="Cambria" w:hAnsi="Cambria"/>
                                  <w:color w:val="008000"/>
                                  <w:sz w:val="21"/>
                                  <w:szCs w:val="21"/>
                                </w:rPr>
                                <w:t>28,9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4491F" w:rsidRDefault="0054491F">
                              <w:pPr>
                                <w:jc w:val="center"/>
                                <w:rPr>
                                  <w:rFonts w:ascii="Cambria" w:hAnsi="Cambria"/>
                                  <w:color w:val="0000FF"/>
                                  <w:sz w:val="21"/>
                                  <w:szCs w:val="21"/>
                                </w:rPr>
                              </w:pPr>
                              <w:r>
                                <w:rPr>
                                  <w:rFonts w:ascii="Cambria" w:hAnsi="Cambria"/>
                                  <w:color w:val="0000FF"/>
                                  <w:sz w:val="21"/>
                                  <w:szCs w:val="21"/>
                                </w:rPr>
                                <w:t>18,6</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0"/>
                                <w:gridCol w:w="240"/>
                              </w:tblGrid>
                              <w:tr w:rsidR="0054491F">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4491F" w:rsidRDefault="0054491F">
                                    <w:pPr>
                                      <w:jc w:val="center"/>
                                      <w:rPr>
                                        <w:rFonts w:ascii="Cambria" w:hAnsi="Cambria"/>
                                        <w:color w:val="000000"/>
                                        <w:sz w:val="12"/>
                                        <w:szCs w:val="12"/>
                                      </w:rPr>
                                    </w:pPr>
                                    <w:r>
                                      <w:rPr>
                                        <w:rFonts w:ascii="Cambria" w:hAnsi="Cambria"/>
                                        <w:color w:val="000000"/>
                                        <w:sz w:val="12"/>
                                        <w:szCs w:val="12"/>
                                      </w:rPr>
                                      <w:t> </w:t>
                                    </w:r>
                                  </w:p>
                                </w:tc>
                              </w:tr>
                              <w:tr w:rsidR="0054491F">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M</w:t>
                                    </w:r>
                                  </w:p>
                                </w:tc>
                              </w:tr>
                            </w:tbl>
                            <w:p w:rsidR="0054491F" w:rsidRDefault="0054491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54491F">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r>
                              <w:tr w:rsidR="0054491F">
                                <w:trPr>
                                  <w:trHeight w:val="246"/>
                                  <w:tblCellSpacing w:w="15" w:type="dxa"/>
                                  <w:jc w:val="center"/>
                                </w:trPr>
                                <w:tc>
                                  <w:tcPr>
                                    <w:tcW w:w="0" w:type="auto"/>
                                    <w:vMerge/>
                                    <w:tcBorders>
                                      <w:top w:val="nil"/>
                                      <w:left w:val="nil"/>
                                      <w:bottom w:val="nil"/>
                                      <w:right w:val="nil"/>
                                    </w:tcBorders>
                                    <w:vAlign w:val="center"/>
                                    <w:hideMark/>
                                  </w:tcPr>
                                  <w:p w:rsidR="0054491F" w:rsidRDefault="0054491F">
                                    <w:pPr>
                                      <w:rPr>
                                        <w:rFonts w:ascii="Cambria" w:hAnsi="Cambria"/>
                                        <w:color w:val="000000"/>
                                        <w:sz w:val="21"/>
                                        <w:szCs w:val="21"/>
                                      </w:rPr>
                                    </w:pPr>
                                  </w:p>
                                </w:tc>
                              </w:tr>
                            </w:tbl>
                            <w:p w:rsidR="0054491F" w:rsidRDefault="0054491F">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54491F">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r>
                              <w:tr w:rsidR="0054491F">
                                <w:trPr>
                                  <w:trHeight w:val="246"/>
                                  <w:tblCellSpacing w:w="15" w:type="dxa"/>
                                  <w:jc w:val="center"/>
                                </w:trPr>
                                <w:tc>
                                  <w:tcPr>
                                    <w:tcW w:w="0" w:type="auto"/>
                                    <w:vMerge/>
                                    <w:tcBorders>
                                      <w:top w:val="nil"/>
                                      <w:left w:val="nil"/>
                                      <w:bottom w:val="nil"/>
                                      <w:right w:val="nil"/>
                                    </w:tcBorders>
                                    <w:vAlign w:val="center"/>
                                    <w:hideMark/>
                                  </w:tcPr>
                                  <w:p w:rsidR="0054491F" w:rsidRDefault="0054491F">
                                    <w:pPr>
                                      <w:rPr>
                                        <w:rFonts w:ascii="Cambria" w:hAnsi="Cambria"/>
                                        <w:color w:val="000000"/>
                                        <w:sz w:val="21"/>
                                        <w:szCs w:val="21"/>
                                      </w:rPr>
                                    </w:pPr>
                                  </w:p>
                                </w:tc>
                              </w:tr>
                            </w:tbl>
                            <w:p w:rsidR="0054491F" w:rsidRDefault="0054491F">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49"/>
                              </w:tblGrid>
                              <w:tr w:rsidR="0054491F">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54491F" w:rsidRDefault="0054491F">
                                    <w:pPr>
                                      <w:jc w:val="center"/>
                                      <w:rPr>
                                        <w:rFonts w:ascii="Cambria" w:hAnsi="Cambria"/>
                                        <w:color w:val="000000"/>
                                        <w:sz w:val="21"/>
                                        <w:szCs w:val="21"/>
                                      </w:rPr>
                                    </w:pPr>
                                    <w:r>
                                      <w:rPr>
                                        <w:rFonts w:ascii="Cambria" w:hAnsi="Cambria"/>
                                        <w:color w:val="000000"/>
                                        <w:sz w:val="21"/>
                                        <w:szCs w:val="21"/>
                                      </w:rPr>
                                      <w:t> </w:t>
                                    </w:r>
                                  </w:p>
                                </w:tc>
                              </w:tr>
                              <w:tr w:rsidR="0054491F">
                                <w:trPr>
                                  <w:trHeight w:val="246"/>
                                  <w:tblCellSpacing w:w="15" w:type="dxa"/>
                                  <w:jc w:val="center"/>
                                </w:trPr>
                                <w:tc>
                                  <w:tcPr>
                                    <w:tcW w:w="0" w:type="auto"/>
                                    <w:vMerge/>
                                    <w:tcBorders>
                                      <w:top w:val="nil"/>
                                      <w:left w:val="nil"/>
                                      <w:bottom w:val="nil"/>
                                      <w:right w:val="nil"/>
                                    </w:tcBorders>
                                    <w:vAlign w:val="center"/>
                                    <w:hideMark/>
                                  </w:tcPr>
                                  <w:p w:rsidR="0054491F" w:rsidRDefault="0054491F">
                                    <w:pPr>
                                      <w:rPr>
                                        <w:rFonts w:ascii="Cambria" w:hAnsi="Cambria"/>
                                        <w:color w:val="000000"/>
                                        <w:sz w:val="21"/>
                                        <w:szCs w:val="21"/>
                                      </w:rPr>
                                    </w:pPr>
                                  </w:p>
                                </w:tc>
                              </w:tr>
                            </w:tbl>
                            <w:p w:rsidR="0054491F" w:rsidRDefault="0054491F">
                              <w:pPr>
                                <w:jc w:val="center"/>
                                <w:rPr>
                                  <w:rFonts w:ascii="Cambria" w:hAnsi="Cambria"/>
                                  <w:color w:val="000000"/>
                                  <w:sz w:val="21"/>
                                  <w:szCs w:val="21"/>
                                </w:rPr>
                              </w:pPr>
                            </w:p>
                          </w:tc>
                        </w:tr>
                      </w:tbl>
                      <w:p w:rsidR="0054491F" w:rsidRDefault="0054491F">
                        <w:pPr>
                          <w:rPr>
                            <w:rFonts w:ascii="Cambria" w:hAnsi="Cambria"/>
                            <w:color w:val="000000"/>
                            <w:sz w:val="21"/>
                            <w:szCs w:val="21"/>
                          </w:rPr>
                        </w:pPr>
                      </w:p>
                    </w:tc>
                  </w:tr>
                </w:tbl>
                <w:p w:rsidR="0054491F" w:rsidRDefault="0054491F">
                  <w:pPr>
                    <w:rPr>
                      <w:rFonts w:ascii="Cambria" w:hAnsi="Cambria"/>
                      <w:color w:val="000000"/>
                      <w:sz w:val="21"/>
                      <w:szCs w:val="21"/>
                    </w:rPr>
                  </w:pPr>
                </w:p>
              </w:tc>
            </w:tr>
          </w:tbl>
          <w:p w:rsidR="0054491F" w:rsidRDefault="0054491F">
            <w:pPr>
              <w:rPr>
                <w:rFonts w:ascii="Cambria" w:hAnsi="Cambria"/>
                <w:color w:val="000000"/>
                <w:sz w:val="21"/>
                <w:szCs w:val="21"/>
              </w:rPr>
            </w:pPr>
          </w:p>
        </w:tc>
      </w:tr>
    </w:tbl>
    <w:p w:rsidR="00FA5C96" w:rsidRDefault="00FA5C96" w:rsidP="00170534">
      <w:pPr>
        <w:ind w:firstLine="708"/>
        <w:jc w:val="both"/>
      </w:pPr>
    </w:p>
    <w:p w:rsidR="004C6762" w:rsidRDefault="00170534" w:rsidP="00170534">
      <w:pPr>
        <w:ind w:firstLine="708"/>
        <w:jc w:val="both"/>
      </w:pPr>
      <w:r w:rsidRPr="00170534">
        <w:t>În urma analizei tuturor indicatorilor de eficiență, se desprinde concluzia că activitate Judecătoriei Vânju Mare se încadrează în gradul de eficiență</w:t>
      </w:r>
      <w:r>
        <w:t xml:space="preserve"> </w:t>
      </w:r>
      <w:r w:rsidRPr="00170534">
        <w:t>”</w:t>
      </w:r>
      <w:r w:rsidRPr="00170534">
        <w:rPr>
          <w:b/>
        </w:rPr>
        <w:t>foarte eficient</w:t>
      </w:r>
      <w:r w:rsidRPr="00170534">
        <w:t xml:space="preserve">” </w:t>
      </w:r>
    </w:p>
    <w:p w:rsidR="00FB7298" w:rsidRDefault="00FB7298" w:rsidP="00170534">
      <w:pPr>
        <w:ind w:firstLine="708"/>
        <w:jc w:val="both"/>
      </w:pPr>
    </w:p>
    <w:tbl>
      <w:tblPr>
        <w:tblW w:w="5000" w:type="pct"/>
        <w:tblCellSpacing w:w="7" w:type="dxa"/>
        <w:tblCellMar>
          <w:left w:w="0" w:type="dxa"/>
          <w:right w:w="0" w:type="dxa"/>
        </w:tblCellMar>
        <w:tblLook w:val="04A0" w:firstRow="1" w:lastRow="0" w:firstColumn="1" w:lastColumn="0" w:noHBand="0" w:noVBand="1"/>
      </w:tblPr>
      <w:tblGrid>
        <w:gridCol w:w="9100"/>
      </w:tblGrid>
      <w:tr w:rsidR="00FB7298">
        <w:trPr>
          <w:tblCellSpacing w:w="7" w:type="dxa"/>
        </w:trPr>
        <w:tc>
          <w:tcPr>
            <w:tcW w:w="0" w:type="auto"/>
            <w:vAlign w:val="center"/>
            <w:hideMark/>
          </w:tcPr>
          <w:p w:rsidR="00FB7298" w:rsidRDefault="00FB7298">
            <w:pPr>
              <w:rPr>
                <w:rFonts w:ascii="Cambria" w:hAnsi="Cambria"/>
                <w:color w:val="000000"/>
                <w:sz w:val="21"/>
                <w:szCs w:val="21"/>
              </w:rPr>
            </w:pPr>
          </w:p>
        </w:tc>
      </w:tr>
      <w:tr w:rsidR="00FB7298">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B7298">
              <w:trPr>
                <w:tblCellSpacing w:w="0" w:type="dxa"/>
              </w:trPr>
              <w:tc>
                <w:tcPr>
                  <w:tcW w:w="0" w:type="auto"/>
                  <w:vAlign w:val="center"/>
                  <w:hideMark/>
                </w:tcPr>
                <w:p w:rsidR="00FB7298" w:rsidRDefault="00FB7298">
                  <w:pPr>
                    <w:rPr>
                      <w:rFonts w:ascii="Cambria" w:hAnsi="Cambria"/>
                      <w:color w:val="000000"/>
                      <w:sz w:val="21"/>
                      <w:szCs w:val="21"/>
                    </w:rPr>
                  </w:pPr>
                </w:p>
              </w:tc>
            </w:tr>
            <w:tr w:rsidR="00FB729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FB7298">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FB7298">
                          <w:trPr>
                            <w:tblCellSpacing w:w="0" w:type="dxa"/>
                          </w:trPr>
                          <w:tc>
                            <w:tcPr>
                              <w:tcW w:w="0" w:type="auto"/>
                              <w:vAlign w:val="center"/>
                              <w:hideMark/>
                            </w:tcPr>
                            <w:p w:rsidR="00FB7298"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43" name="Imagine 4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FB7298" w:rsidRDefault="00FB7298">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FB7298" w:rsidRDefault="00491FD0">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44" name="Imagine 4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pac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FB7298" w:rsidRDefault="00FB7298">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796"/>
                          <w:gridCol w:w="2311"/>
                          <w:gridCol w:w="1073"/>
                          <w:gridCol w:w="1073"/>
                          <w:gridCol w:w="1073"/>
                        </w:tblGrid>
                        <w:tr w:rsidR="00FB7298">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B7298" w:rsidRDefault="00FB7298">
                              <w:pPr>
                                <w:jc w:val="center"/>
                                <w:rPr>
                                  <w:rFonts w:ascii="Tahoma" w:hAnsi="Tahoma" w:cs="Tahoma"/>
                                  <w:b/>
                                  <w:bCs/>
                                  <w:color w:val="000000"/>
                                  <w:sz w:val="17"/>
                                  <w:szCs w:val="17"/>
                                </w:rPr>
                              </w:pPr>
                              <w:r>
                                <w:rPr>
                                  <w:rFonts w:ascii="Tahoma" w:hAnsi="Tahoma" w:cs="Tahoma"/>
                                  <w:b/>
                                  <w:bCs/>
                                  <w:color w:val="000000"/>
                                  <w:sz w:val="17"/>
                                  <w:szCs w:val="17"/>
                                </w:rPr>
                                <w:t>ORDINE</w:t>
                              </w:r>
                            </w:p>
                          </w:tc>
                          <w:tc>
                            <w:tcPr>
                              <w:tcW w:w="17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B7298" w:rsidRDefault="00FB7298">
                              <w:pPr>
                                <w:rPr>
                                  <w:rFonts w:ascii="Tahoma" w:hAnsi="Tahoma" w:cs="Tahoma"/>
                                  <w:b/>
                                  <w:bCs/>
                                  <w:color w:val="000000"/>
                                  <w:sz w:val="17"/>
                                  <w:szCs w:val="17"/>
                                </w:rPr>
                              </w:pPr>
                              <w:r>
                                <w:rPr>
                                  <w:rFonts w:ascii="Tahoma" w:hAnsi="Tahoma" w:cs="Tahoma"/>
                                  <w:b/>
                                  <w:bCs/>
                                  <w:color w:val="000000"/>
                                  <w:sz w:val="17"/>
                                  <w:szCs w:val="17"/>
                                </w:rPr>
                                <w:t>DENUMIRE JUDECATORIE</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FB7298" w:rsidRDefault="00FB729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FB7298">
                          <w:trPr>
                            <w:tblCellSpacing w:w="0" w:type="dxa"/>
                          </w:trPr>
                          <w:tc>
                            <w:tcPr>
                              <w:tcW w:w="0" w:type="auto"/>
                              <w:vMerge/>
                              <w:tcBorders>
                                <w:bottom w:val="single" w:sz="6" w:space="0" w:color="FFFFFF"/>
                                <w:right w:val="single" w:sz="6" w:space="0" w:color="FFFFFF"/>
                              </w:tcBorders>
                              <w:vAlign w:val="center"/>
                              <w:hideMark/>
                            </w:tcPr>
                            <w:p w:rsidR="00FB7298" w:rsidRDefault="00FB729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FB7298" w:rsidRDefault="00FB7298">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B7298" w:rsidRDefault="00FB7298">
                              <w:pPr>
                                <w:jc w:val="center"/>
                                <w:rPr>
                                  <w:rFonts w:ascii="Tahoma" w:hAnsi="Tahoma" w:cs="Tahoma"/>
                                  <w:b/>
                                  <w:bCs/>
                                  <w:color w:val="000000"/>
                                  <w:sz w:val="17"/>
                                  <w:szCs w:val="17"/>
                                </w:rPr>
                              </w:pPr>
                              <w:r>
                                <w:rPr>
                                  <w:rFonts w:ascii="Tahoma" w:hAnsi="Tahoma" w:cs="Tahoma"/>
                                  <w:b/>
                                  <w:bCs/>
                                  <w:color w:val="000000"/>
                                  <w:sz w:val="17"/>
                                  <w:szCs w:val="17"/>
                                </w:rPr>
                                <w:t>F</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B7298" w:rsidRDefault="00FB7298">
                              <w:pPr>
                                <w:jc w:val="center"/>
                                <w:rPr>
                                  <w:rFonts w:ascii="Tahoma" w:hAnsi="Tahoma" w:cs="Tahoma"/>
                                  <w:b/>
                                  <w:bCs/>
                                  <w:color w:val="000000"/>
                                  <w:sz w:val="17"/>
                                  <w:szCs w:val="17"/>
                                </w:rPr>
                              </w:pPr>
                              <w:r>
                                <w:rPr>
                                  <w:rFonts w:ascii="Tahoma" w:hAnsi="Tahoma" w:cs="Tahoma"/>
                                  <w:b/>
                                  <w:bCs/>
                                  <w:color w:val="000000"/>
                                  <w:sz w:val="17"/>
                                  <w:szCs w:val="17"/>
                                </w:rPr>
                                <w:t>E</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FB7298" w:rsidRDefault="00FB7298">
                              <w:pPr>
                                <w:jc w:val="center"/>
                                <w:rPr>
                                  <w:rFonts w:ascii="Tahoma" w:hAnsi="Tahoma" w:cs="Tahoma"/>
                                  <w:b/>
                                  <w:bCs/>
                                  <w:color w:val="000000"/>
                                  <w:sz w:val="17"/>
                                  <w:szCs w:val="17"/>
                                </w:rPr>
                              </w:pPr>
                              <w:r>
                                <w:rPr>
                                  <w:rFonts w:ascii="Tahoma" w:hAnsi="Tahoma" w:cs="Tahoma"/>
                                  <w:b/>
                                  <w:bCs/>
                                  <w:color w:val="000000"/>
                                  <w:sz w:val="17"/>
                                  <w:szCs w:val="17"/>
                                </w:rPr>
                                <w:t>S</w:t>
                              </w:r>
                            </w:p>
                          </w:tc>
                          <w:tc>
                            <w:tcPr>
                              <w:tcW w:w="750" w:type="pct"/>
                              <w:tcBorders>
                                <w:bottom w:val="single" w:sz="6" w:space="0" w:color="FFFFFF"/>
                              </w:tcBorders>
                              <w:shd w:val="clear" w:color="auto" w:fill="DADADA"/>
                              <w:noWrap/>
                              <w:tcMar>
                                <w:top w:w="15" w:type="dxa"/>
                                <w:left w:w="15" w:type="dxa"/>
                                <w:bottom w:w="15" w:type="dxa"/>
                                <w:right w:w="15" w:type="dxa"/>
                              </w:tcMar>
                              <w:vAlign w:val="center"/>
                              <w:hideMark/>
                            </w:tcPr>
                            <w:p w:rsidR="00FB7298" w:rsidRDefault="00FB7298">
                              <w:pPr>
                                <w:jc w:val="center"/>
                                <w:rPr>
                                  <w:rFonts w:ascii="Tahoma" w:hAnsi="Tahoma" w:cs="Tahoma"/>
                                  <w:b/>
                                  <w:bCs/>
                                  <w:color w:val="000000"/>
                                  <w:sz w:val="17"/>
                                  <w:szCs w:val="17"/>
                                </w:rPr>
                              </w:pPr>
                              <w:r>
                                <w:rPr>
                                  <w:rFonts w:ascii="Tahoma" w:hAnsi="Tahoma" w:cs="Tahoma"/>
                                  <w:b/>
                                  <w:bCs/>
                                  <w:color w:val="000000"/>
                                  <w:sz w:val="17"/>
                                  <w:szCs w:val="17"/>
                                </w:rPr>
                                <w:t>I</w:t>
                              </w:r>
                            </w:p>
                          </w:tc>
                        </w:tr>
                        <w:tr w:rsidR="00FB7298">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1</w:t>
                              </w:r>
                            </w:p>
                          </w:tc>
                          <w:tc>
                            <w:tcPr>
                              <w:tcW w:w="17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FB7298" w:rsidRDefault="00FB7298">
                              <w:pPr>
                                <w:rPr>
                                  <w:rFonts w:ascii="Cambria" w:hAnsi="Cambria"/>
                                  <w:color w:val="000000"/>
                                  <w:sz w:val="21"/>
                                  <w:szCs w:val="21"/>
                                </w:rPr>
                              </w:pPr>
                              <w:r>
                                <w:rPr>
                                  <w:rFonts w:ascii="Cambria" w:hAnsi="Cambria"/>
                                  <w:color w:val="000000"/>
                                  <w:sz w:val="21"/>
                                  <w:szCs w:val="21"/>
                                </w:rPr>
                                <w:t>Judecatoria VANJU MARE</w:t>
                              </w: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FB7298">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 </w:t>
                                    </w:r>
                                  </w:p>
                                </w:tc>
                              </w:tr>
                              <w:tr w:rsidR="00FB7298">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E05</w:t>
                                    </w:r>
                                  </w:p>
                                </w:tc>
                              </w:tr>
                            </w:tbl>
                            <w:p w:rsidR="00FB7298" w:rsidRDefault="00FB7298">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FB7298">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 </w:t>
                                    </w:r>
                                  </w:p>
                                </w:tc>
                              </w:tr>
                              <w:tr w:rsidR="00FB7298">
                                <w:trPr>
                                  <w:trHeight w:val="246"/>
                                  <w:tblCellSpacing w:w="15" w:type="dxa"/>
                                  <w:jc w:val="center"/>
                                </w:trPr>
                                <w:tc>
                                  <w:tcPr>
                                    <w:tcW w:w="0" w:type="auto"/>
                                    <w:vMerge/>
                                    <w:tcBorders>
                                      <w:top w:val="nil"/>
                                      <w:left w:val="nil"/>
                                      <w:bottom w:val="nil"/>
                                      <w:right w:val="nil"/>
                                    </w:tcBorders>
                                    <w:vAlign w:val="center"/>
                                    <w:hideMark/>
                                  </w:tcPr>
                                  <w:p w:rsidR="00FB7298" w:rsidRDefault="00FB7298">
                                    <w:pPr>
                                      <w:rPr>
                                        <w:rFonts w:ascii="Cambria" w:hAnsi="Cambria"/>
                                        <w:color w:val="000000"/>
                                        <w:sz w:val="21"/>
                                        <w:szCs w:val="21"/>
                                      </w:rPr>
                                    </w:pPr>
                                  </w:p>
                                </w:tc>
                              </w:tr>
                            </w:tbl>
                            <w:p w:rsidR="00FB7298" w:rsidRDefault="00FB7298">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FB7298">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 </w:t>
                                    </w:r>
                                  </w:p>
                                </w:tc>
                              </w:tr>
                              <w:tr w:rsidR="00FB7298">
                                <w:trPr>
                                  <w:trHeight w:val="246"/>
                                  <w:tblCellSpacing w:w="15" w:type="dxa"/>
                                  <w:jc w:val="center"/>
                                </w:trPr>
                                <w:tc>
                                  <w:tcPr>
                                    <w:tcW w:w="0" w:type="auto"/>
                                    <w:vMerge/>
                                    <w:tcBorders>
                                      <w:top w:val="nil"/>
                                      <w:left w:val="nil"/>
                                      <w:bottom w:val="nil"/>
                                      <w:right w:val="nil"/>
                                    </w:tcBorders>
                                    <w:vAlign w:val="center"/>
                                    <w:hideMark/>
                                  </w:tcPr>
                                  <w:p w:rsidR="00FB7298" w:rsidRDefault="00FB7298">
                                    <w:pPr>
                                      <w:rPr>
                                        <w:rFonts w:ascii="Cambria" w:hAnsi="Cambria"/>
                                        <w:color w:val="000000"/>
                                        <w:sz w:val="21"/>
                                        <w:szCs w:val="21"/>
                                      </w:rPr>
                                    </w:pPr>
                                  </w:p>
                                </w:tc>
                              </w:tr>
                            </w:tbl>
                            <w:p w:rsidR="00FB7298" w:rsidRDefault="00FB7298">
                              <w:pPr>
                                <w:jc w:val="center"/>
                                <w:rPr>
                                  <w:rFonts w:ascii="Cambria" w:hAnsi="Cambria"/>
                                  <w:color w:val="00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43"/>
                              </w:tblGrid>
                              <w:tr w:rsidR="00FB7298">
                                <w:trPr>
                                  <w:trHeight w:val="246"/>
                                  <w:tblCellSpacing w:w="15" w:type="dxa"/>
                                  <w:jc w:val="center"/>
                                </w:trPr>
                                <w:tc>
                                  <w:tcPr>
                                    <w:tcW w:w="0" w:type="auto"/>
                                    <w:vMerge w:val="restart"/>
                                    <w:tcBorders>
                                      <w:top w:val="nil"/>
                                      <w:left w:val="nil"/>
                                      <w:bottom w:val="nil"/>
                                      <w:right w:val="nil"/>
                                    </w:tcBorders>
                                    <w:shd w:val="clear" w:color="auto" w:fill="auto"/>
                                    <w:vAlign w:val="center"/>
                                    <w:hideMark/>
                                  </w:tcPr>
                                  <w:p w:rsidR="00FB7298" w:rsidRDefault="00FB7298">
                                    <w:pPr>
                                      <w:jc w:val="center"/>
                                      <w:rPr>
                                        <w:rFonts w:ascii="Cambria" w:hAnsi="Cambria"/>
                                        <w:color w:val="000000"/>
                                        <w:sz w:val="21"/>
                                        <w:szCs w:val="21"/>
                                      </w:rPr>
                                    </w:pPr>
                                    <w:r>
                                      <w:rPr>
                                        <w:rFonts w:ascii="Cambria" w:hAnsi="Cambria"/>
                                        <w:color w:val="000000"/>
                                        <w:sz w:val="21"/>
                                        <w:szCs w:val="21"/>
                                      </w:rPr>
                                      <w:t> </w:t>
                                    </w:r>
                                  </w:p>
                                </w:tc>
                              </w:tr>
                              <w:tr w:rsidR="00FB7298">
                                <w:trPr>
                                  <w:trHeight w:val="246"/>
                                  <w:tblCellSpacing w:w="15" w:type="dxa"/>
                                  <w:jc w:val="center"/>
                                </w:trPr>
                                <w:tc>
                                  <w:tcPr>
                                    <w:tcW w:w="0" w:type="auto"/>
                                    <w:vMerge/>
                                    <w:tcBorders>
                                      <w:top w:val="nil"/>
                                      <w:left w:val="nil"/>
                                      <w:bottom w:val="nil"/>
                                      <w:right w:val="nil"/>
                                    </w:tcBorders>
                                    <w:vAlign w:val="center"/>
                                    <w:hideMark/>
                                  </w:tcPr>
                                  <w:p w:rsidR="00FB7298" w:rsidRDefault="00FB7298">
                                    <w:pPr>
                                      <w:rPr>
                                        <w:rFonts w:ascii="Cambria" w:hAnsi="Cambria"/>
                                        <w:color w:val="000000"/>
                                        <w:sz w:val="21"/>
                                        <w:szCs w:val="21"/>
                                      </w:rPr>
                                    </w:pPr>
                                  </w:p>
                                </w:tc>
                              </w:tr>
                            </w:tbl>
                            <w:p w:rsidR="00FB7298" w:rsidRDefault="00FB7298">
                              <w:pPr>
                                <w:jc w:val="center"/>
                                <w:rPr>
                                  <w:rFonts w:ascii="Cambria" w:hAnsi="Cambria"/>
                                  <w:color w:val="000000"/>
                                  <w:sz w:val="21"/>
                                  <w:szCs w:val="21"/>
                                </w:rPr>
                              </w:pPr>
                            </w:p>
                          </w:tc>
                        </w:tr>
                      </w:tbl>
                      <w:p w:rsidR="00FB7298" w:rsidRDefault="00FB7298">
                        <w:pPr>
                          <w:rPr>
                            <w:rFonts w:ascii="Cambria" w:hAnsi="Cambria"/>
                            <w:color w:val="000000"/>
                            <w:sz w:val="21"/>
                            <w:szCs w:val="21"/>
                          </w:rPr>
                        </w:pPr>
                      </w:p>
                    </w:tc>
                  </w:tr>
                </w:tbl>
                <w:p w:rsidR="00FB7298" w:rsidRDefault="00FB7298">
                  <w:pPr>
                    <w:rPr>
                      <w:rFonts w:ascii="Cambria" w:hAnsi="Cambria"/>
                      <w:color w:val="000000"/>
                      <w:sz w:val="21"/>
                      <w:szCs w:val="21"/>
                    </w:rPr>
                  </w:pPr>
                </w:p>
              </w:tc>
            </w:tr>
          </w:tbl>
          <w:p w:rsidR="00FB7298" w:rsidRDefault="00FB7298">
            <w:pPr>
              <w:rPr>
                <w:rFonts w:ascii="Cambria" w:hAnsi="Cambria"/>
                <w:color w:val="000000"/>
                <w:sz w:val="21"/>
                <w:szCs w:val="21"/>
              </w:rPr>
            </w:pPr>
          </w:p>
        </w:tc>
      </w:tr>
    </w:tbl>
    <w:p w:rsidR="0052166F" w:rsidRDefault="0052166F" w:rsidP="00170534">
      <w:pPr>
        <w:ind w:firstLine="708"/>
        <w:jc w:val="both"/>
      </w:pPr>
    </w:p>
    <w:p w:rsidR="00170534" w:rsidRDefault="00170534" w:rsidP="00170534">
      <w:pPr>
        <w:rPr>
          <w:rFonts w:ascii="Cambria" w:hAnsi="Cambria"/>
          <w:color w:val="000000"/>
          <w:sz w:val="21"/>
          <w:szCs w:val="21"/>
        </w:rPr>
      </w:pPr>
    </w:p>
    <w:p w:rsidR="00491FD0" w:rsidRDefault="00491FD0" w:rsidP="00170534">
      <w:pPr>
        <w:rPr>
          <w:rFonts w:ascii="Cambria" w:hAnsi="Cambria"/>
          <w:vanish/>
          <w:color w:val="000000"/>
          <w:sz w:val="21"/>
          <w:szCs w:val="21"/>
        </w:rPr>
      </w:pPr>
    </w:p>
    <w:p w:rsidR="00FA5C96" w:rsidRDefault="00FA5C96" w:rsidP="00170534">
      <w:pPr>
        <w:ind w:firstLine="708"/>
        <w:rPr>
          <w:b/>
        </w:rPr>
      </w:pPr>
    </w:p>
    <w:p w:rsidR="001C2AEF" w:rsidRDefault="001C2AEF" w:rsidP="0052166F">
      <w:pPr>
        <w:spacing w:line="360" w:lineRule="auto"/>
        <w:ind w:firstLine="708"/>
        <w:jc w:val="both"/>
        <w:rPr>
          <w:b/>
        </w:rPr>
      </w:pPr>
    </w:p>
    <w:p w:rsidR="001C2AEF" w:rsidRDefault="001C2AEF" w:rsidP="0052166F">
      <w:pPr>
        <w:spacing w:line="360" w:lineRule="auto"/>
        <w:ind w:firstLine="708"/>
        <w:jc w:val="both"/>
        <w:rPr>
          <w:b/>
        </w:rPr>
      </w:pPr>
    </w:p>
    <w:p w:rsidR="004C6762" w:rsidRDefault="00170534" w:rsidP="0052166F">
      <w:pPr>
        <w:spacing w:line="360" w:lineRule="auto"/>
        <w:ind w:firstLine="708"/>
        <w:jc w:val="both"/>
        <w:rPr>
          <w:b/>
        </w:rPr>
      </w:pPr>
      <w:r w:rsidRPr="00170534">
        <w:rPr>
          <w:b/>
        </w:rPr>
        <w:lastRenderedPageBreak/>
        <w:t>I.</w:t>
      </w:r>
      <w:r w:rsidR="00FB7298">
        <w:rPr>
          <w:b/>
        </w:rPr>
        <w:t>4</w:t>
      </w:r>
      <w:r w:rsidRPr="00170534">
        <w:rPr>
          <w:b/>
        </w:rPr>
        <w:t>. I</w:t>
      </w:r>
      <w:r w:rsidR="004C6762" w:rsidRPr="00170534">
        <w:rPr>
          <w:b/>
        </w:rPr>
        <w:t xml:space="preserve">ndicii de </w:t>
      </w:r>
      <w:proofErr w:type="spellStart"/>
      <w:r w:rsidR="004C6762" w:rsidRPr="00170534">
        <w:rPr>
          <w:b/>
        </w:rPr>
        <w:t>ataca</w:t>
      </w:r>
      <w:r w:rsidRPr="00170534">
        <w:rPr>
          <w:b/>
        </w:rPr>
        <w:t>b</w:t>
      </w:r>
      <w:r w:rsidR="004C6762" w:rsidRPr="00170534">
        <w:rPr>
          <w:b/>
        </w:rPr>
        <w:t>ilitate</w:t>
      </w:r>
      <w:proofErr w:type="spellEnd"/>
      <w:r w:rsidR="004C6762" w:rsidRPr="00170534">
        <w:rPr>
          <w:b/>
        </w:rPr>
        <w:t xml:space="preserve"> a hotărârilor judecătoreşti</w:t>
      </w:r>
    </w:p>
    <w:p w:rsidR="00B17923" w:rsidRPr="00B17923" w:rsidRDefault="00B17923" w:rsidP="00B17923">
      <w:pPr>
        <w:pStyle w:val="Default"/>
        <w:spacing w:line="360" w:lineRule="auto"/>
        <w:ind w:firstLine="708"/>
        <w:jc w:val="both"/>
      </w:pPr>
      <w:r w:rsidRPr="00B17923">
        <w:t xml:space="preserve">În activitatea profesională a judecătorului este imperios ca magistraţii să fie conştienţi de consecinţele pe care hotărârile pronunţate le au asupra drepturilor şi libertăţilor cetăţenilor. </w:t>
      </w:r>
    </w:p>
    <w:p w:rsidR="00B17923" w:rsidRPr="00B17923" w:rsidRDefault="00B17923" w:rsidP="00B17923">
      <w:pPr>
        <w:pStyle w:val="Default"/>
        <w:spacing w:line="360" w:lineRule="auto"/>
        <w:jc w:val="both"/>
      </w:pPr>
      <w:r w:rsidRPr="00B17923">
        <w:t xml:space="preserve">Percepţia generală asupra justiţiei este influenţată de calitatea actului de justiţie prin care se reflectă calitatea funcţionării sistemului judiciar şi de asemenea se asigură prestigiul autorităţii judecătoreşti. </w:t>
      </w:r>
    </w:p>
    <w:p w:rsidR="00B17923" w:rsidRPr="00B17923" w:rsidRDefault="00B17923" w:rsidP="00B17923">
      <w:pPr>
        <w:pStyle w:val="Default"/>
        <w:spacing w:line="360" w:lineRule="auto"/>
        <w:ind w:firstLine="720"/>
        <w:jc w:val="both"/>
      </w:pPr>
      <w:r w:rsidRPr="00B17923">
        <w:t xml:space="preserve">Pregătirea profesională a judecătorilor acestei instanţe, preocupările acestora pentru asimilarea şi aprofundarea noilor modificări legislative şi pentru cunoaşterea practicii judiciare s-au concretizat în muncă susţinută care a avut drept consecinţă soluţionarea în mod corect şi cu celeritate a cauzelor, ce se reflectă în procentul de </w:t>
      </w:r>
      <w:proofErr w:type="spellStart"/>
      <w:r w:rsidRPr="00B17923">
        <w:t>atacabilitate</w:t>
      </w:r>
      <w:proofErr w:type="spellEnd"/>
      <w:r w:rsidRPr="00B17923">
        <w:t xml:space="preserve"> a hotărârilor. </w:t>
      </w:r>
    </w:p>
    <w:p w:rsidR="004C6762" w:rsidRDefault="004C6762" w:rsidP="0052166F">
      <w:pPr>
        <w:spacing w:line="360" w:lineRule="auto"/>
        <w:ind w:firstLine="708"/>
        <w:jc w:val="both"/>
      </w:pPr>
      <w:r>
        <w:t xml:space="preserve">Având în vedere că, ponderea </w:t>
      </w:r>
      <w:proofErr w:type="spellStart"/>
      <w:r>
        <w:t>atacabilităţii</w:t>
      </w:r>
      <w:proofErr w:type="spellEnd"/>
      <w:r>
        <w:t xml:space="preserve"> hotărârilor este determinată de raportul între numărul dosarelor intrate la tribunal / curte de apel</w:t>
      </w:r>
      <w:r w:rsidR="00FB7298">
        <w:t>,</w:t>
      </w:r>
      <w:r>
        <w:t xml:space="preserve"> în apel şi recurs (</w:t>
      </w:r>
      <w:r w:rsidR="00B17923">
        <w:t>465</w:t>
      </w:r>
      <w:r w:rsidR="00170534">
        <w:t xml:space="preserve"> d</w:t>
      </w:r>
      <w:r>
        <w:t>osare) şi numărul cauzelor soluţionate la judecătorie (</w:t>
      </w:r>
      <w:r w:rsidR="00B17923">
        <w:t xml:space="preserve">4826 </w:t>
      </w:r>
      <w:r>
        <w:t>dosare) în anul</w:t>
      </w:r>
      <w:r w:rsidR="00170534">
        <w:t xml:space="preserve"> </w:t>
      </w:r>
      <w:r>
        <w:t>201</w:t>
      </w:r>
      <w:r w:rsidR="00B17923">
        <w:t>7</w:t>
      </w:r>
      <w:r>
        <w:t xml:space="preserve">, ponderea de </w:t>
      </w:r>
      <w:proofErr w:type="spellStart"/>
      <w:r>
        <w:t>atacabilitate</w:t>
      </w:r>
      <w:proofErr w:type="spellEnd"/>
      <w:r>
        <w:t xml:space="preserve"> la ni</w:t>
      </w:r>
      <w:r w:rsidR="00170534">
        <w:t xml:space="preserve">velul acestei instanţe este de </w:t>
      </w:r>
      <w:r w:rsidR="00B17923">
        <w:t xml:space="preserve">9,63 </w:t>
      </w:r>
      <w:r>
        <w:t>%.</w:t>
      </w:r>
    </w:p>
    <w:p w:rsidR="008E6AA6" w:rsidRDefault="008E6AA6" w:rsidP="0052166F">
      <w:pPr>
        <w:spacing w:line="360" w:lineRule="auto"/>
        <w:ind w:firstLine="708"/>
        <w:jc w:val="both"/>
      </w:pPr>
    </w:p>
    <w:p w:rsidR="008E6AA6" w:rsidRDefault="008E6AA6" w:rsidP="0052166F">
      <w:pPr>
        <w:spacing w:line="360" w:lineRule="auto"/>
        <w:ind w:firstLine="708"/>
        <w:jc w:val="both"/>
      </w:pPr>
      <w:r>
        <w:rPr>
          <w:noProof/>
        </w:rPr>
        <w:drawing>
          <wp:inline distT="0" distB="0" distL="0" distR="0" wp14:anchorId="31949DB8" wp14:editId="2D736DAB">
            <wp:extent cx="5486400" cy="3200400"/>
            <wp:effectExtent l="0" t="0" r="19050" b="19050"/>
            <wp:docPr id="45" name="Diagramă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17923" w:rsidRDefault="00B17923" w:rsidP="00FA5C96">
      <w:pPr>
        <w:spacing w:line="360" w:lineRule="auto"/>
        <w:ind w:firstLine="708"/>
        <w:rPr>
          <w:b/>
        </w:rPr>
      </w:pPr>
    </w:p>
    <w:p w:rsidR="004C6762" w:rsidRPr="00170534" w:rsidRDefault="004C6762" w:rsidP="00FA5C96">
      <w:pPr>
        <w:spacing w:line="360" w:lineRule="auto"/>
        <w:ind w:firstLine="708"/>
        <w:rPr>
          <w:b/>
        </w:rPr>
      </w:pPr>
      <w:r w:rsidRPr="00170534">
        <w:rPr>
          <w:b/>
        </w:rPr>
        <w:t>I.</w:t>
      </w:r>
      <w:r w:rsidR="00FB7298">
        <w:rPr>
          <w:b/>
        </w:rPr>
        <w:t>5</w:t>
      </w:r>
      <w:r w:rsidRPr="00170534">
        <w:rPr>
          <w:b/>
        </w:rPr>
        <w:t xml:space="preserve"> Indicii de desfiinţare a hotărârilor judecătoreşti</w:t>
      </w:r>
    </w:p>
    <w:p w:rsidR="004C6762" w:rsidRDefault="00170534" w:rsidP="0052166F">
      <w:pPr>
        <w:spacing w:line="360" w:lineRule="auto"/>
        <w:ind w:firstLine="708"/>
        <w:jc w:val="both"/>
      </w:pPr>
      <w:r>
        <w:t>I</w:t>
      </w:r>
      <w:r w:rsidR="004C6762">
        <w:t>ndicele de desfiinţare este determina</w:t>
      </w:r>
      <w:r>
        <w:t>t</w:t>
      </w:r>
      <w:r w:rsidR="004C6762">
        <w:t xml:space="preserve"> de raportul dintre numărul hotărârilor</w:t>
      </w:r>
      <w:r>
        <w:t xml:space="preserve"> casate/d</w:t>
      </w:r>
      <w:r w:rsidR="00570E14">
        <w:t>esfiinţate (84</w:t>
      </w:r>
      <w:r w:rsidR="004C6762">
        <w:t xml:space="preserve"> hotărâri) şi numărul hotărârilor </w:t>
      </w:r>
      <w:r>
        <w:t>atacate (</w:t>
      </w:r>
      <w:r w:rsidR="00570E14">
        <w:t>465</w:t>
      </w:r>
      <w:r>
        <w:t xml:space="preserve"> </w:t>
      </w:r>
      <w:r w:rsidR="004C6762">
        <w:t>hotărâri) în</w:t>
      </w:r>
      <w:r>
        <w:t xml:space="preserve"> </w:t>
      </w:r>
      <w:r w:rsidR="004C6762">
        <w:t>cursul anului 201</w:t>
      </w:r>
      <w:r w:rsidR="00570E14">
        <w:t>7</w:t>
      </w:r>
      <w:r>
        <w:t xml:space="preserve">, </w:t>
      </w:r>
      <w:r w:rsidR="004C6762">
        <w:t xml:space="preserve"> indicele de casare/desfiinţare </w:t>
      </w:r>
      <w:r>
        <w:t xml:space="preserve">la nivelul Judecătoriei fiind </w:t>
      </w:r>
      <w:r w:rsidR="004C6762">
        <w:t xml:space="preserve">de  </w:t>
      </w:r>
      <w:r w:rsidR="00570E14">
        <w:t>18</w:t>
      </w:r>
      <w:r>
        <w:t>,</w:t>
      </w:r>
      <w:r w:rsidR="00570E14">
        <w:t>06</w:t>
      </w:r>
      <w:r w:rsidR="004C6762">
        <w:t xml:space="preserve"> % .</w:t>
      </w:r>
    </w:p>
    <w:p w:rsidR="004C6762" w:rsidRDefault="004C6762" w:rsidP="0052166F">
      <w:pPr>
        <w:spacing w:line="360" w:lineRule="auto"/>
        <w:ind w:firstLine="708"/>
        <w:jc w:val="both"/>
      </w:pPr>
      <w:r>
        <w:t>Principalele cauze pentru care au fost desfiinţate/modificate hotărârile instanţelor în c</w:t>
      </w:r>
      <w:r w:rsidR="00170534">
        <w:t>ă</w:t>
      </w:r>
      <w:r>
        <w:t>ile de atac s-au materializa</w:t>
      </w:r>
      <w:r w:rsidR="00FB7298">
        <w:t>t</w:t>
      </w:r>
      <w:r>
        <w:t xml:space="preserve"> în casarea hotărârii de fond pe elemente de apreciere (individualizarea pedepsei, însă în interiorul limitelor impuse de lege, stabilirea modalităţii de </w:t>
      </w:r>
      <w:r>
        <w:lastRenderedPageBreak/>
        <w:t xml:space="preserve">executare </w:t>
      </w:r>
      <w:proofErr w:type="spellStart"/>
      <w:r>
        <w:t>etc</w:t>
      </w:r>
      <w:proofErr w:type="spellEnd"/>
      <w:r>
        <w:t>), netemeinicia hotărârii de fond, provocată de lip</w:t>
      </w:r>
      <w:r w:rsidR="00170534">
        <w:t>sa de diligentă a părţii în adm</w:t>
      </w:r>
      <w:r>
        <w:t>inistrarea cauzei (ignorarea obligaţiilor procedurale, nepropunerea sau nefurnizarea de mijloace de probă pertinente), netemeinicia hotărârii de fond, datorată administrării în calea de atac a unor probe noi, neavute în vedere la fond, fără culpa judecătorului.</w:t>
      </w:r>
    </w:p>
    <w:p w:rsidR="004C6762" w:rsidRDefault="00170534" w:rsidP="00FA5C96">
      <w:pPr>
        <w:spacing w:line="360" w:lineRule="auto"/>
        <w:ind w:firstLine="708"/>
        <w:jc w:val="both"/>
      </w:pPr>
      <w:r>
        <w:t>Î</w:t>
      </w:r>
      <w:r w:rsidR="004C6762">
        <w:t>n vederea creşterii calităţii actului de justiţie, în cursul anului 201</w:t>
      </w:r>
      <w:r w:rsidR="00570E14">
        <w:t>7</w:t>
      </w:r>
      <w:r w:rsidR="004C6762">
        <w:t xml:space="preserve"> au avut loc în cadrul instanţei întâlniri lunare ale colectivului de judecători în vederea dezbate</w:t>
      </w:r>
      <w:r>
        <w:t xml:space="preserve">rii </w:t>
      </w:r>
      <w:r w:rsidR="004C6762">
        <w:t>motivelor de casare şi a stabilirii măsurilor adecvat</w:t>
      </w:r>
      <w:r>
        <w:t>e care se impun în vederea diminu</w:t>
      </w:r>
      <w:r w:rsidR="004C6762">
        <w:t>ării numărului de hotărâri judecătoreşti desfiinţate în căile de atac.</w:t>
      </w:r>
    </w:p>
    <w:p w:rsidR="008E6AA6" w:rsidRDefault="008E6AA6" w:rsidP="008E6AA6">
      <w:r w:rsidRPr="00BB65FB">
        <w:rPr>
          <w:noProof/>
          <w:shd w:val="clear" w:color="auto" w:fill="66FFFF"/>
        </w:rPr>
        <w:drawing>
          <wp:inline distT="0" distB="0" distL="0" distR="0" wp14:anchorId="0CFBCAEE" wp14:editId="32A4C69B">
            <wp:extent cx="5486400" cy="3200400"/>
            <wp:effectExtent l="0" t="0" r="19050" b="19050"/>
            <wp:docPr id="46" name="Diagramă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E5417" w:rsidRDefault="00BE5417" w:rsidP="00FA5C96">
      <w:pPr>
        <w:spacing w:line="360" w:lineRule="auto"/>
        <w:ind w:firstLine="540"/>
        <w:rPr>
          <w:b/>
        </w:rPr>
      </w:pPr>
    </w:p>
    <w:p w:rsidR="004C6762" w:rsidRPr="00DE5252" w:rsidRDefault="004C6762" w:rsidP="00FA5C96">
      <w:pPr>
        <w:spacing w:line="360" w:lineRule="auto"/>
        <w:ind w:firstLine="540"/>
        <w:rPr>
          <w:b/>
        </w:rPr>
      </w:pPr>
      <w:r w:rsidRPr="00DE5252">
        <w:rPr>
          <w:b/>
        </w:rPr>
        <w:t xml:space="preserve">II. DATE STATISTICE REFERITOARE </w:t>
      </w:r>
      <w:smartTag w:uri="urn:schemas-microsoft-com:office:smarttags" w:element="PersonName">
        <w:smartTagPr>
          <w:attr w:name="ProductID" w:val="LA RESURSELE UMANE"/>
        </w:smartTagPr>
        <w:r w:rsidRPr="00DE5252">
          <w:rPr>
            <w:b/>
          </w:rPr>
          <w:t>LA RESURSELE UMANE</w:t>
        </w:r>
      </w:smartTag>
      <w:r w:rsidRPr="00DE5252">
        <w:rPr>
          <w:b/>
        </w:rPr>
        <w:t xml:space="preserve"> </w:t>
      </w:r>
      <w:smartTag w:uri="urn:schemas-microsoft-com:office:smarttags" w:element="PersonName">
        <w:smartTagPr>
          <w:attr w:name="ProductID" w:val="LA NIVELUL INSTANŢEI."/>
        </w:smartTagPr>
        <w:r w:rsidRPr="00DE5252">
          <w:rPr>
            <w:b/>
          </w:rPr>
          <w:t>LA NIVELUL INSTANŢEI.</w:t>
        </w:r>
      </w:smartTag>
    </w:p>
    <w:p w:rsidR="004C6762" w:rsidRPr="00DE5252" w:rsidRDefault="004C6762" w:rsidP="00FA5C96">
      <w:pPr>
        <w:spacing w:line="360" w:lineRule="auto"/>
        <w:ind w:firstLine="540"/>
        <w:rPr>
          <w:b/>
        </w:rPr>
      </w:pPr>
      <w:proofErr w:type="spellStart"/>
      <w:r w:rsidRPr="00DE5252">
        <w:rPr>
          <w:b/>
        </w:rPr>
        <w:t>II.l</w:t>
      </w:r>
      <w:proofErr w:type="spellEnd"/>
      <w:r w:rsidR="007D35CA">
        <w:rPr>
          <w:b/>
        </w:rPr>
        <w:t>.</w:t>
      </w:r>
      <w:r w:rsidRPr="00DE5252">
        <w:rPr>
          <w:b/>
        </w:rPr>
        <w:t xml:space="preserve"> Situaţia posturilor</w:t>
      </w:r>
    </w:p>
    <w:p w:rsidR="00064718" w:rsidRDefault="004C6762" w:rsidP="00064718">
      <w:pPr>
        <w:spacing w:line="360" w:lineRule="auto"/>
        <w:ind w:firstLine="708"/>
        <w:jc w:val="both"/>
      </w:pPr>
      <w:r>
        <w:t xml:space="preserve">Aşa cum am menţionat anterior, </w:t>
      </w:r>
      <w:r w:rsidR="00064718">
        <w:t>î</w:t>
      </w:r>
      <w:r w:rsidR="00064718" w:rsidRPr="0033132C">
        <w:t xml:space="preserve">n ceea ce priveşte judecătorii care </w:t>
      </w:r>
      <w:r w:rsidR="00064718">
        <w:t>și-au desfăşurat</w:t>
      </w:r>
      <w:r w:rsidR="00064718" w:rsidRPr="0033132C">
        <w:t xml:space="preserve"> activi</w:t>
      </w:r>
      <w:r w:rsidR="00064718">
        <w:t>tatea la Judecătoria Vânju-Mare aceștia au fost în număr de</w:t>
      </w:r>
      <w:r w:rsidR="00064718" w:rsidRPr="0033132C">
        <w:t xml:space="preserve"> </w:t>
      </w:r>
      <w:r w:rsidR="00064718">
        <w:t>5</w:t>
      </w:r>
      <w:r w:rsidR="00064718" w:rsidRPr="0033132C">
        <w:t xml:space="preserve"> judecători</w:t>
      </w:r>
      <w:r w:rsidR="00064718">
        <w:t>, deși organigrama prevede un număr de 7 judecători. D</w:t>
      </w:r>
      <w:r w:rsidR="00064718" w:rsidRPr="0033132C">
        <w:t xml:space="preserve">intre </w:t>
      </w:r>
      <w:r w:rsidR="00064718">
        <w:t xml:space="preserve">aceștia un judecător este stagiar, unul este delegat de la Tribunalul Mehedinți </w:t>
      </w:r>
      <w:r w:rsidR="00064718" w:rsidRPr="0033132C">
        <w:t>din cauza deficitului de judecători în raport cu numărul de dosare înregistrate pe rolul instanţei</w:t>
      </w:r>
      <w:r w:rsidR="00064718">
        <w:t xml:space="preserve"> și un judecător ocupă funcția de conducere.</w:t>
      </w:r>
    </w:p>
    <w:p w:rsidR="00B850EB" w:rsidRDefault="00B850EB" w:rsidP="00B850EB">
      <w:pPr>
        <w:spacing w:line="360" w:lineRule="auto"/>
        <w:ind w:firstLine="708"/>
        <w:jc w:val="both"/>
      </w:pPr>
      <w:r>
        <w:t>În ceea ce priveşte personalul auxiliar de specialitate și conex, precum și personalul contractual  în anul 2016 a existat o</w:t>
      </w:r>
      <w:r w:rsidR="00064718">
        <w:t xml:space="preserve"> mică</w:t>
      </w:r>
      <w:r>
        <w:t xml:space="preserve"> fluctuaţie a acestuia</w:t>
      </w:r>
      <w:r w:rsidR="00064718">
        <w:t>, la această dată fiind vacant un post de grefier studii superioare.</w:t>
      </w:r>
    </w:p>
    <w:p w:rsidR="00064718" w:rsidRDefault="00064718" w:rsidP="00B850EB">
      <w:pPr>
        <w:spacing w:line="360" w:lineRule="auto"/>
        <w:ind w:firstLine="708"/>
        <w:jc w:val="both"/>
      </w:pPr>
    </w:p>
    <w:p w:rsidR="00F21E33" w:rsidRDefault="00F21E33" w:rsidP="00B850EB">
      <w:pPr>
        <w:spacing w:line="360" w:lineRule="auto"/>
        <w:ind w:firstLine="708"/>
        <w:jc w:val="both"/>
      </w:pPr>
    </w:p>
    <w:p w:rsidR="00B850EB" w:rsidRDefault="00B850EB" w:rsidP="007E716F">
      <w:pPr>
        <w:spacing w:line="360" w:lineRule="auto"/>
        <w:ind w:firstLine="708"/>
        <w:jc w:val="both"/>
      </w:pPr>
    </w:p>
    <w:p w:rsidR="004C6762" w:rsidRPr="00DE5252" w:rsidRDefault="004C6762" w:rsidP="00FA5C96">
      <w:pPr>
        <w:spacing w:line="360" w:lineRule="auto"/>
        <w:ind w:firstLine="708"/>
        <w:rPr>
          <w:b/>
        </w:rPr>
      </w:pPr>
      <w:r w:rsidRPr="00DE5252">
        <w:rPr>
          <w:b/>
        </w:rPr>
        <w:lastRenderedPageBreak/>
        <w:t>II.2 Formarea profesională a pe</w:t>
      </w:r>
      <w:r w:rsidR="00325A05" w:rsidRPr="00DE5252">
        <w:rPr>
          <w:b/>
        </w:rPr>
        <w:t>r</w:t>
      </w:r>
      <w:r w:rsidRPr="00DE5252">
        <w:rPr>
          <w:b/>
        </w:rPr>
        <w:t>sonalului.</w:t>
      </w:r>
    </w:p>
    <w:p w:rsidR="000B259B" w:rsidRPr="000B259B" w:rsidRDefault="000B259B" w:rsidP="006C2021">
      <w:pPr>
        <w:pStyle w:val="Style19"/>
        <w:widowControl/>
        <w:spacing w:before="125" w:line="360" w:lineRule="auto"/>
        <w:ind w:firstLine="960"/>
        <w:rPr>
          <w:rStyle w:val="FontStyle25"/>
          <w:sz w:val="24"/>
          <w:szCs w:val="24"/>
        </w:rPr>
      </w:pPr>
      <w:r w:rsidRPr="000B259B">
        <w:rPr>
          <w:rStyle w:val="FontStyle25"/>
          <w:sz w:val="24"/>
          <w:szCs w:val="24"/>
        </w:rPr>
        <w:t>Un aspect important în activitatea instanţei îl reprezintă formarea şi pregătirea profesională continuă a judecătorilor</w:t>
      </w:r>
      <w:r>
        <w:rPr>
          <w:rStyle w:val="FontStyle25"/>
          <w:sz w:val="24"/>
          <w:szCs w:val="24"/>
        </w:rPr>
        <w:t>,</w:t>
      </w:r>
      <w:r w:rsidRPr="000B259B">
        <w:rPr>
          <w:rStyle w:val="FontStyle25"/>
          <w:sz w:val="24"/>
          <w:szCs w:val="24"/>
        </w:rPr>
        <w:t xml:space="preserve"> pregătire asigurată în principal, prin învăţământul profesional organizat lunar în cadrul instanţei pe teme de un real interes, cu aplicaţie directă şi imediată în activitatea desfăşurată.</w:t>
      </w:r>
    </w:p>
    <w:p w:rsidR="004C6762" w:rsidRPr="000B259B" w:rsidRDefault="000B259B" w:rsidP="006C2021">
      <w:pPr>
        <w:spacing w:line="360" w:lineRule="auto"/>
        <w:ind w:firstLine="708"/>
        <w:jc w:val="both"/>
      </w:pPr>
      <w:r w:rsidRPr="000B259B">
        <w:rPr>
          <w:rStyle w:val="FontStyle25"/>
          <w:sz w:val="24"/>
          <w:szCs w:val="24"/>
        </w:rPr>
        <w:t>Un act de justiţie de calitate, presupune în mod necesar, cunoaşterea continuă a prevederilor dreptului comunitar, a jurisprudenţei C.E.D.O, C.J.C.E., a jurisprudenţei Curţii Constituţionale cât şi a jurisprudenţei înaltei Curţi de Casaţie în acest sens realizându-se întâlniri unde aceste prevederi au fost discutate și analizate.</w:t>
      </w:r>
    </w:p>
    <w:p w:rsidR="000B259B" w:rsidRPr="000B259B" w:rsidRDefault="000B259B" w:rsidP="006C2021">
      <w:pPr>
        <w:pStyle w:val="Style19"/>
        <w:widowControl/>
        <w:spacing w:before="77" w:line="360" w:lineRule="auto"/>
        <w:ind w:firstLine="1032"/>
        <w:rPr>
          <w:rStyle w:val="FontStyle25"/>
          <w:sz w:val="24"/>
          <w:szCs w:val="24"/>
        </w:rPr>
      </w:pPr>
      <w:r w:rsidRPr="000B259B">
        <w:rPr>
          <w:rStyle w:val="FontStyle25"/>
          <w:sz w:val="24"/>
          <w:szCs w:val="24"/>
        </w:rPr>
        <w:t>Pregătirea profesională a judecătorilor s-a realizat şi pe coordonata asigurării accesului la informaţia juridică prin internet, publicarea pe portalul instanţei a sentinţelor relevante şi a oricăror alte informaţii juridice de actualitate.</w:t>
      </w:r>
    </w:p>
    <w:p w:rsidR="000B259B" w:rsidRPr="000B259B" w:rsidRDefault="000B259B" w:rsidP="006C2021">
      <w:pPr>
        <w:pStyle w:val="Style19"/>
        <w:widowControl/>
        <w:spacing w:line="360" w:lineRule="auto"/>
        <w:ind w:firstLine="1032"/>
        <w:rPr>
          <w:rStyle w:val="FontStyle25"/>
          <w:sz w:val="24"/>
          <w:szCs w:val="24"/>
        </w:rPr>
      </w:pPr>
      <w:r w:rsidRPr="000B259B">
        <w:rPr>
          <w:rStyle w:val="FontStyle25"/>
          <w:sz w:val="24"/>
          <w:szCs w:val="24"/>
        </w:rPr>
        <w:t>La nivelul Curţii de Apel Craiova s-au organizat periodic activităţi de pregătire profesională constând în consultări, dezbateri, seminarii, sesiuni la care au participat judecătorii instanţei noastre. Judecătorii care au participat la asemenea întâlniri au prezentat la şedinţele lunare de învăţământ profesional sau ori de câte ori a fost necesar temele dezbătute şi concluziile la care s-a ajuns.</w:t>
      </w:r>
    </w:p>
    <w:p w:rsidR="000B259B" w:rsidRPr="000B259B" w:rsidRDefault="000B259B" w:rsidP="006C2021">
      <w:pPr>
        <w:pStyle w:val="Style19"/>
        <w:widowControl/>
        <w:spacing w:line="360" w:lineRule="auto"/>
        <w:ind w:firstLine="1118"/>
        <w:rPr>
          <w:rStyle w:val="FontStyle25"/>
          <w:sz w:val="24"/>
          <w:szCs w:val="24"/>
        </w:rPr>
      </w:pPr>
      <w:r w:rsidRPr="000B259B">
        <w:rPr>
          <w:rStyle w:val="FontStyle25"/>
          <w:sz w:val="24"/>
          <w:szCs w:val="24"/>
        </w:rPr>
        <w:t>Pregătire</w:t>
      </w:r>
      <w:r w:rsidR="007E716F">
        <w:rPr>
          <w:rStyle w:val="FontStyle25"/>
          <w:sz w:val="24"/>
          <w:szCs w:val="24"/>
        </w:rPr>
        <w:t>a profesională a judecătoril</w:t>
      </w:r>
      <w:r w:rsidR="00876F93">
        <w:rPr>
          <w:rStyle w:val="FontStyle25"/>
          <w:sz w:val="24"/>
          <w:szCs w:val="24"/>
        </w:rPr>
        <w:t>o</w:t>
      </w:r>
      <w:r w:rsidR="007E716F">
        <w:rPr>
          <w:rStyle w:val="FontStyle25"/>
          <w:sz w:val="24"/>
          <w:szCs w:val="24"/>
        </w:rPr>
        <w:t>r,</w:t>
      </w:r>
      <w:r w:rsidRPr="000B259B">
        <w:rPr>
          <w:rStyle w:val="FontStyle25"/>
          <w:sz w:val="24"/>
          <w:szCs w:val="24"/>
        </w:rPr>
        <w:t xml:space="preserve"> a vizat şi participarea lor la seminariile organizate de Institutul Naţional al Magistraturii.</w:t>
      </w:r>
    </w:p>
    <w:p w:rsidR="006C2021" w:rsidRPr="006C2021" w:rsidRDefault="006C2021" w:rsidP="006C2021">
      <w:pPr>
        <w:pStyle w:val="Style19"/>
        <w:widowControl/>
        <w:spacing w:line="360" w:lineRule="auto"/>
        <w:ind w:firstLine="1195"/>
        <w:rPr>
          <w:rStyle w:val="FontStyle25"/>
          <w:sz w:val="24"/>
          <w:szCs w:val="24"/>
        </w:rPr>
      </w:pPr>
      <w:r w:rsidRPr="006C2021">
        <w:rPr>
          <w:rStyle w:val="FontStyle25"/>
          <w:sz w:val="24"/>
          <w:szCs w:val="24"/>
        </w:rPr>
        <w:t>Pregătirea profesională a personalului auxiliar de specialitate esenţială în activitatea de realizare a actului de justiţie ,se fundamentează pe un plan riguros şi sistematic de dobândire şi completare a cunoştinţelor juridice atât în domeniul dreptului cât şi în domeniul tehnicii informatice.</w:t>
      </w:r>
    </w:p>
    <w:p w:rsidR="006C2021" w:rsidRPr="006C2021" w:rsidRDefault="006C2021" w:rsidP="006C2021">
      <w:pPr>
        <w:pStyle w:val="Style19"/>
        <w:widowControl/>
        <w:spacing w:line="360" w:lineRule="auto"/>
        <w:ind w:firstLine="1190"/>
        <w:rPr>
          <w:rStyle w:val="FontStyle25"/>
          <w:sz w:val="24"/>
          <w:szCs w:val="24"/>
        </w:rPr>
      </w:pPr>
      <w:r w:rsidRPr="006C2021">
        <w:rPr>
          <w:rStyle w:val="FontStyle25"/>
          <w:sz w:val="24"/>
          <w:szCs w:val="24"/>
        </w:rPr>
        <w:t xml:space="preserve">Formarea profesională continuă a personalului auxiliar de specialitate de la Judecătoria </w:t>
      </w:r>
      <w:r w:rsidR="00876F93">
        <w:rPr>
          <w:rStyle w:val="FontStyle25"/>
          <w:sz w:val="24"/>
          <w:szCs w:val="24"/>
        </w:rPr>
        <w:t>Vânju Mare</w:t>
      </w:r>
      <w:r w:rsidRPr="006C2021">
        <w:rPr>
          <w:rStyle w:val="FontStyle25"/>
          <w:sz w:val="24"/>
          <w:szCs w:val="24"/>
        </w:rPr>
        <w:t xml:space="preserve"> s-a realizat atât la nivel centralizat în cadrul seminari</w:t>
      </w:r>
      <w:r w:rsidR="007E716F">
        <w:rPr>
          <w:rStyle w:val="FontStyle25"/>
          <w:sz w:val="24"/>
          <w:szCs w:val="24"/>
        </w:rPr>
        <w:t>i</w:t>
      </w:r>
      <w:r w:rsidRPr="006C2021">
        <w:rPr>
          <w:rStyle w:val="FontStyle25"/>
          <w:sz w:val="24"/>
          <w:szCs w:val="24"/>
        </w:rPr>
        <w:t>lor organizate de Şcoala Naţională de Grefieri şi de Curtea de Apel Craiova cât şi în cadrul învăţământului profesional trimestrial organizat la instanţă .</w:t>
      </w:r>
    </w:p>
    <w:p w:rsidR="006C2021" w:rsidRPr="006C2021" w:rsidRDefault="006C2021" w:rsidP="006C2021">
      <w:pPr>
        <w:pStyle w:val="Style19"/>
        <w:widowControl/>
        <w:spacing w:line="360" w:lineRule="auto"/>
        <w:ind w:firstLine="1195"/>
        <w:rPr>
          <w:rStyle w:val="FontStyle25"/>
          <w:sz w:val="24"/>
          <w:szCs w:val="24"/>
        </w:rPr>
      </w:pPr>
      <w:r w:rsidRPr="006C2021">
        <w:rPr>
          <w:rStyle w:val="FontStyle25"/>
          <w:sz w:val="24"/>
          <w:szCs w:val="24"/>
        </w:rPr>
        <w:t>Tematica şedinţelor de învăţământ profesional cuprinde aspecte ce ţin de noutăţile legislative în domeniul organizării şi funcţionării instanţelor,procedurilor civile şi penale, a taxelor de timbru şi orice alte probleme considerate de interes pentru acest personal.</w:t>
      </w:r>
    </w:p>
    <w:p w:rsidR="006C2021" w:rsidRPr="006C2021" w:rsidRDefault="006C2021" w:rsidP="006C2021">
      <w:pPr>
        <w:pStyle w:val="Style19"/>
        <w:widowControl/>
        <w:spacing w:line="360" w:lineRule="auto"/>
        <w:ind w:firstLine="955"/>
        <w:rPr>
          <w:rStyle w:val="FontStyle25"/>
          <w:sz w:val="24"/>
          <w:szCs w:val="24"/>
        </w:rPr>
      </w:pPr>
      <w:r w:rsidRPr="006C2021">
        <w:rPr>
          <w:rStyle w:val="FontStyle25"/>
          <w:sz w:val="24"/>
          <w:szCs w:val="24"/>
        </w:rPr>
        <w:t>Pregătirea profesională a personalului auxiliar de specialitate s-a desfăşurat sub coordonarea unui judecător.</w:t>
      </w:r>
    </w:p>
    <w:p w:rsidR="00972D2D" w:rsidRDefault="00972D2D" w:rsidP="00FA5C96">
      <w:pPr>
        <w:spacing w:line="360" w:lineRule="auto"/>
        <w:ind w:firstLine="539"/>
        <w:jc w:val="both"/>
        <w:rPr>
          <w:b/>
        </w:rPr>
      </w:pPr>
    </w:p>
    <w:p w:rsidR="00F21E33" w:rsidRDefault="00F21E33" w:rsidP="00FA5C96">
      <w:pPr>
        <w:spacing w:line="360" w:lineRule="auto"/>
        <w:ind w:firstLine="539"/>
        <w:jc w:val="both"/>
        <w:rPr>
          <w:b/>
        </w:rPr>
      </w:pPr>
    </w:p>
    <w:p w:rsidR="00F21E33" w:rsidRDefault="00F21E33" w:rsidP="00FA5C96">
      <w:pPr>
        <w:spacing w:line="360" w:lineRule="auto"/>
        <w:ind w:firstLine="539"/>
        <w:jc w:val="both"/>
        <w:rPr>
          <w:b/>
        </w:rPr>
      </w:pPr>
    </w:p>
    <w:p w:rsidR="008B369B" w:rsidRPr="008B369B" w:rsidRDefault="008B369B" w:rsidP="00FA5C96">
      <w:pPr>
        <w:spacing w:line="360" w:lineRule="auto"/>
        <w:ind w:firstLine="539"/>
        <w:jc w:val="both"/>
        <w:rPr>
          <w:b/>
        </w:rPr>
      </w:pPr>
      <w:r w:rsidRPr="008B369B">
        <w:rPr>
          <w:b/>
        </w:rPr>
        <w:lastRenderedPageBreak/>
        <w:t>II.3 Situaţia sancţiunilor disciplinare şi penale aplicate în cursul anului 2016 pe fiecare categorie de personal.</w:t>
      </w:r>
    </w:p>
    <w:p w:rsidR="008B369B" w:rsidRPr="008B369B" w:rsidRDefault="008B369B" w:rsidP="00FA5C96">
      <w:pPr>
        <w:spacing w:line="360" w:lineRule="auto"/>
        <w:ind w:firstLine="539"/>
        <w:jc w:val="both"/>
      </w:pPr>
      <w:r w:rsidRPr="008B369B">
        <w:t xml:space="preserve">La instanţa </w:t>
      </w:r>
      <w:proofErr w:type="spellStart"/>
      <w:r w:rsidRPr="008B369B">
        <w:t>Vînju</w:t>
      </w:r>
      <w:proofErr w:type="spellEnd"/>
      <w:r w:rsidRPr="008B369B">
        <w:t xml:space="preserve"> Mare nu au fost acordate sancţiuni disciplinare sau de altă formă, personalul acestei instanţe fiind un personal , în general , cu vechime în sistem , cu o foarte bună pregătire profesională şi cu o educaţie</w:t>
      </w:r>
      <w:r w:rsidR="00BE5417">
        <w:t xml:space="preserve"> elevată necesară acestui domeniu</w:t>
      </w:r>
      <w:r w:rsidRPr="008B369B">
        <w:t xml:space="preserve"> de activitate.</w:t>
      </w:r>
    </w:p>
    <w:p w:rsidR="00FA5C96" w:rsidRDefault="00FA5C96" w:rsidP="00FA5C96">
      <w:pPr>
        <w:spacing w:line="360" w:lineRule="auto"/>
        <w:ind w:firstLine="539"/>
        <w:rPr>
          <w:b/>
        </w:rPr>
      </w:pPr>
    </w:p>
    <w:p w:rsidR="004C6762" w:rsidRPr="00DE5252" w:rsidRDefault="004C6762" w:rsidP="00FA5C96">
      <w:pPr>
        <w:spacing w:line="360" w:lineRule="auto"/>
        <w:ind w:firstLine="539"/>
        <w:rPr>
          <w:b/>
        </w:rPr>
      </w:pPr>
      <w:r w:rsidRPr="00DE5252">
        <w:rPr>
          <w:b/>
        </w:rPr>
        <w:t>I</w:t>
      </w:r>
      <w:r w:rsidR="00340662">
        <w:rPr>
          <w:b/>
        </w:rPr>
        <w:t>II</w:t>
      </w:r>
      <w:r w:rsidR="00BE5417">
        <w:rPr>
          <w:b/>
        </w:rPr>
        <w:t>.</w:t>
      </w:r>
      <w:r w:rsidRPr="00DE5252">
        <w:rPr>
          <w:b/>
        </w:rPr>
        <w:t xml:space="preserve"> INFRASTRUCTURA INSTANŢEI</w:t>
      </w:r>
    </w:p>
    <w:p w:rsidR="008F5CE4" w:rsidRPr="008F5CE4" w:rsidRDefault="008F5CE4" w:rsidP="001F6986">
      <w:pPr>
        <w:spacing w:line="360" w:lineRule="auto"/>
        <w:ind w:firstLine="539"/>
      </w:pPr>
      <w:r w:rsidRPr="008F5CE4">
        <w:t>Pe parcursul anului 201</w:t>
      </w:r>
      <w:r>
        <w:t>7</w:t>
      </w:r>
      <w:r w:rsidRPr="008F5CE4">
        <w:t xml:space="preserve">, conducerea Judecătoriei </w:t>
      </w:r>
      <w:r>
        <w:t>Vânju Mare</w:t>
      </w:r>
      <w:r w:rsidRPr="008F5CE4">
        <w:t xml:space="preserve"> a fost asigurată după cum urmează : </w:t>
      </w:r>
    </w:p>
    <w:p w:rsidR="008F5CE4" w:rsidRPr="008F5CE4" w:rsidRDefault="008F5CE4" w:rsidP="008F5CE4">
      <w:pPr>
        <w:spacing w:line="360" w:lineRule="auto"/>
      </w:pPr>
      <w:r w:rsidRPr="008F5CE4">
        <w:rPr>
          <w:b/>
        </w:rPr>
        <w:t>Preşedinte</w:t>
      </w:r>
      <w:r w:rsidRPr="008F5CE4">
        <w:t xml:space="preserve">: doamna judecător </w:t>
      </w:r>
      <w:r>
        <w:t>Ceaușu Angela</w:t>
      </w:r>
      <w:r w:rsidRPr="008F5CE4">
        <w:t xml:space="preserve">; </w:t>
      </w:r>
    </w:p>
    <w:p w:rsidR="00340662" w:rsidRDefault="008F5CE4" w:rsidP="008F5CE4">
      <w:pPr>
        <w:spacing w:line="360" w:lineRule="auto"/>
        <w:rPr>
          <w:sz w:val="28"/>
          <w:szCs w:val="28"/>
        </w:rPr>
      </w:pPr>
      <w:r w:rsidRPr="008F5CE4">
        <w:rPr>
          <w:b/>
        </w:rPr>
        <w:t>Colegiul de conducere</w:t>
      </w:r>
      <w:r w:rsidRPr="008F5CE4">
        <w:t xml:space="preserve">, format din preşedintele judecătoriei şi </w:t>
      </w:r>
      <w:r>
        <w:t xml:space="preserve">doi </w:t>
      </w:r>
      <w:r w:rsidRPr="008F5CE4">
        <w:t xml:space="preserve"> reprezentanţi ai judecătorilor</w:t>
      </w:r>
      <w:r>
        <w:t xml:space="preserve"> : doamna judecător </w:t>
      </w:r>
      <w:proofErr w:type="spellStart"/>
      <w:r>
        <w:t>Durac</w:t>
      </w:r>
      <w:proofErr w:type="spellEnd"/>
      <w:r>
        <w:t xml:space="preserve"> Aurelia Dorina și doamna judecător Florea Lavinia</w:t>
      </w:r>
      <w:r w:rsidRPr="008F5CE4">
        <w:t xml:space="preserve">. </w:t>
      </w:r>
      <w:r w:rsidRPr="008F5CE4">
        <w:rPr>
          <w:b/>
        </w:rPr>
        <w:t>Grefier șef</w:t>
      </w:r>
      <w:r>
        <w:t xml:space="preserve"> : doamna grefier Moldoveanu Ioana</w:t>
      </w:r>
      <w:r w:rsidR="00340662">
        <w:tab/>
      </w:r>
      <w:r w:rsidR="00340662" w:rsidRPr="002322FB">
        <w:rPr>
          <w:sz w:val="28"/>
          <w:szCs w:val="28"/>
        </w:rPr>
        <w:t xml:space="preserve"> </w:t>
      </w:r>
    </w:p>
    <w:p w:rsidR="00340662" w:rsidRDefault="00340662" w:rsidP="00340662">
      <w:pPr>
        <w:shd w:val="clear" w:color="auto" w:fill="FFFFFF"/>
        <w:spacing w:line="360" w:lineRule="auto"/>
        <w:ind w:firstLine="701"/>
        <w:jc w:val="both"/>
      </w:pPr>
      <w:r w:rsidRPr="002322FB">
        <w:t xml:space="preserve">Activitatea economică, financiară şi administrativă a instanţei este asigurată de Compartimentul economico-financiar şi administrativ din cadrul Tribunalului </w:t>
      </w:r>
      <w:r>
        <w:t>Mehedinți</w:t>
      </w:r>
      <w:r w:rsidRPr="002322FB">
        <w:t>.</w:t>
      </w:r>
    </w:p>
    <w:p w:rsidR="00340662" w:rsidRPr="00A80B7C" w:rsidRDefault="00340662" w:rsidP="00340662">
      <w:pPr>
        <w:spacing w:line="360" w:lineRule="auto"/>
        <w:ind w:firstLine="705"/>
        <w:jc w:val="both"/>
      </w:pPr>
      <w:r w:rsidRPr="002322FB">
        <w:t xml:space="preserve">Clădirea este asigurată cu pază, conform dispoziţiilor legale în vigoare, este structurată din parter, etaj şi mansardă, numărul total al încăperilor este de </w:t>
      </w:r>
      <w:r>
        <w:t>19</w:t>
      </w:r>
      <w:r w:rsidRPr="002322FB">
        <w:t xml:space="preserve"> birouri </w:t>
      </w:r>
      <w:r>
        <w:t xml:space="preserve">destinate desfășurării activității judecătorilor și personalului auxiliar și conex, precum </w:t>
      </w:r>
      <w:r w:rsidRPr="002322FB">
        <w:t xml:space="preserve">şi </w:t>
      </w:r>
      <w:r>
        <w:t>3</w:t>
      </w:r>
      <w:r w:rsidRPr="002322FB">
        <w:t xml:space="preserve"> săli de judecată</w:t>
      </w:r>
      <w:r>
        <w:t xml:space="preserve"> dotate cu echipamente de înregistrare a ședințelor de judecată. </w:t>
      </w:r>
    </w:p>
    <w:p w:rsidR="00340662" w:rsidRPr="006250F5" w:rsidRDefault="00340662" w:rsidP="00340662">
      <w:pPr>
        <w:spacing w:line="360" w:lineRule="auto"/>
        <w:ind w:firstLine="705"/>
        <w:jc w:val="both"/>
      </w:pPr>
      <w:r w:rsidRPr="006250F5">
        <w:t>La parter funcţionează serviciile de registratură şi arhivă ale instanţei,</w:t>
      </w:r>
      <w:r>
        <w:t xml:space="preserve"> </w:t>
      </w:r>
      <w:r w:rsidRPr="006250F5">
        <w:t>cu program pentru public, între orele 9</w:t>
      </w:r>
      <w:r w:rsidRPr="006250F5">
        <w:rPr>
          <w:vertAlign w:val="superscript"/>
        </w:rPr>
        <w:t xml:space="preserve">00 </w:t>
      </w:r>
      <w:r w:rsidRPr="006250F5">
        <w:t>– 13</w:t>
      </w:r>
      <w:r w:rsidRPr="006250F5">
        <w:rPr>
          <w:vertAlign w:val="superscript"/>
        </w:rPr>
        <w:t>00</w:t>
      </w:r>
      <w:r w:rsidRPr="006250F5">
        <w:t xml:space="preserve"> şi cele două săli în care se desfăşoară şedinţele publice de judecată</w:t>
      </w:r>
      <w:r>
        <w:t>. L</w:t>
      </w:r>
      <w:r w:rsidRPr="006250F5">
        <w:t>a etaj sunt situate : cabinetul preşedintelui, biroul grefierului şef, trei birouri de judecători şi trei birouri de grefieri,</w:t>
      </w:r>
      <w:r>
        <w:t xml:space="preserve"> </w:t>
      </w:r>
      <w:r w:rsidRPr="006250F5">
        <w:t>biroul martorului sub acoperire, ia</w:t>
      </w:r>
      <w:r>
        <w:t xml:space="preserve">r la mansardă sunt amplasate birouri de judecători, </w:t>
      </w:r>
      <w:r w:rsidRPr="006250F5">
        <w:t>birouri de grefieri, biroul informaticianului, sala de consiliu, biblioteca, biroul de operare al documentelor secrete şi biroul de executări penale.</w:t>
      </w:r>
    </w:p>
    <w:p w:rsidR="00340662" w:rsidRDefault="00340662" w:rsidP="00340662">
      <w:pPr>
        <w:spacing w:line="360" w:lineRule="auto"/>
        <w:ind w:firstLine="705"/>
        <w:jc w:val="both"/>
      </w:pPr>
      <w:r w:rsidRPr="006250F5">
        <w:t>În anul 201</w:t>
      </w:r>
      <w:r>
        <w:t>7</w:t>
      </w:r>
      <w:r w:rsidRPr="006250F5">
        <w:t xml:space="preserve">, Judecătoria Vânju Mare și-a început activitate cu un număr de </w:t>
      </w:r>
      <w:r>
        <w:t xml:space="preserve">5 judecători din care un judecător stagiar și un judecător delegat de la Tribunalul Mehedinți. </w:t>
      </w:r>
    </w:p>
    <w:p w:rsidR="00340662" w:rsidRPr="006250F5" w:rsidRDefault="00340662" w:rsidP="00340662">
      <w:pPr>
        <w:spacing w:line="360" w:lineRule="auto"/>
        <w:jc w:val="both"/>
      </w:pPr>
      <w:r>
        <w:tab/>
        <w:t>Activitatea nu este structurată pe secții și complete specializate fiecare complet soluționând cauze din materiile civil, minori și familie, litigii cu profesioniști și penal. Există doar două completuri specializate în ceea ce privește asociațiile și fundațiile</w:t>
      </w:r>
    </w:p>
    <w:p w:rsidR="004C6762" w:rsidRDefault="004C6762" w:rsidP="00FA5C96">
      <w:pPr>
        <w:spacing w:line="360" w:lineRule="auto"/>
        <w:ind w:firstLine="539"/>
        <w:jc w:val="both"/>
      </w:pPr>
      <w:r>
        <w:t>Judecătoria</w:t>
      </w:r>
      <w:r w:rsidR="008B369B">
        <w:t xml:space="preserve"> Vânju Mare </w:t>
      </w:r>
      <w:r>
        <w:t>îşi are sedi</w:t>
      </w:r>
      <w:r w:rsidR="008B369B">
        <w:t>ul într-un imobil aparţinând Min</w:t>
      </w:r>
      <w:r>
        <w:t>isterului Justiţiei, imobil care în</w:t>
      </w:r>
      <w:r w:rsidR="008B369B">
        <w:t xml:space="preserve"> </w:t>
      </w:r>
      <w:r>
        <w:t>timp a cunoscut transformări şi modificări, în prezent, fiind un sediu funcţional, cu toate</w:t>
      </w:r>
      <w:r w:rsidR="008B369B">
        <w:t xml:space="preserve"> </w:t>
      </w:r>
      <w:r>
        <w:t>dotările necesare desfăşurării în condiţii optime a activităţii</w:t>
      </w:r>
    </w:p>
    <w:p w:rsidR="004C6762" w:rsidRDefault="004C6762" w:rsidP="00FA5C96">
      <w:pPr>
        <w:spacing w:line="360" w:lineRule="auto"/>
        <w:ind w:firstLine="539"/>
        <w:jc w:val="both"/>
      </w:pPr>
      <w:smartTag w:uri="urn:schemas-microsoft-com:office:smarttags" w:element="PersonName">
        <w:smartTagPr>
          <w:attr w:name="ProductID" w:val="La Judecătoria"/>
        </w:smartTagPr>
        <w:r>
          <w:lastRenderedPageBreak/>
          <w:t>La Judecătoria</w:t>
        </w:r>
      </w:smartTag>
      <w:r>
        <w:t xml:space="preserve"> </w:t>
      </w:r>
      <w:r w:rsidR="008B369B">
        <w:t>Vânju Mare</w:t>
      </w:r>
      <w:r>
        <w:t xml:space="preserve"> </w:t>
      </w:r>
      <w:r w:rsidR="00B850EB">
        <w:t xml:space="preserve">o parte din </w:t>
      </w:r>
      <w:r>
        <w:t>evidenţa activităţii instanţei se ţine în sistem</w:t>
      </w:r>
      <w:r w:rsidR="008B369B">
        <w:t xml:space="preserve"> </w:t>
      </w:r>
      <w:r>
        <w:t>informatizat, împrejurare în care, apreciem că s-a îmbunătăţit accesul la informaţii şi a crescut gradul de transparenţă a funcţionării instanţei.</w:t>
      </w:r>
    </w:p>
    <w:p w:rsidR="0091137D" w:rsidRDefault="0091137D" w:rsidP="0091137D">
      <w:pPr>
        <w:spacing w:line="360" w:lineRule="auto"/>
        <w:ind w:firstLine="708"/>
        <w:jc w:val="both"/>
        <w:rPr>
          <w:rFonts w:eastAsia="Calibri"/>
        </w:rPr>
      </w:pPr>
      <w:r>
        <w:rPr>
          <w:noProof/>
        </w:rPr>
        <w:t xml:space="preserve">Imobilul în care îşi desfăşoară activitatea Judecătoria Vânju Mare </w:t>
      </w:r>
      <w:r w:rsidRPr="0091137D">
        <w:rPr>
          <w:noProof/>
        </w:rPr>
        <w:t>are 2 săli de şedinţă şi o cameră  de consiliu.</w:t>
      </w:r>
      <w:r>
        <w:rPr>
          <w:noProof/>
        </w:rPr>
        <w:t xml:space="preserve"> </w:t>
      </w:r>
      <w:r>
        <w:rPr>
          <w:rFonts w:eastAsia="Arial Unicode MS"/>
        </w:rPr>
        <w:t xml:space="preserve">Una dintre săli este destinată şedinţelor de judecată în materie penală, fiind amenajată în mod corespunzător conform normelor permițând accesul direct în sala de judecată a deținuților. </w:t>
      </w:r>
      <w:r>
        <w:t>Judecătoria Vânju Mare este dotată şi cu sistem de video-conferinţă şi audiere martori sub acoperire, aparatura aferentă acestuia fiind amplasată la etajul 1.</w:t>
      </w:r>
    </w:p>
    <w:p w:rsidR="0091137D" w:rsidRDefault="0091137D" w:rsidP="0091137D">
      <w:pPr>
        <w:spacing w:line="360" w:lineRule="auto"/>
        <w:ind w:firstLine="720"/>
        <w:jc w:val="both"/>
      </w:pPr>
      <w:r>
        <w:t xml:space="preserve">În sediul instanței este instalat un echipament electronic de tip </w:t>
      </w:r>
      <w:proofErr w:type="spellStart"/>
      <w:r>
        <w:t>infochioșc</w:t>
      </w:r>
      <w:proofErr w:type="spellEnd"/>
      <w:r>
        <w:t xml:space="preserve"> destinat informării publicului interesat, amplasat în zona de acces a publicului și în imediata apropiere a sălilor de judecată, fiind posibilă accesarea într-un mod simplu și la îndemâna oricui a informațiilor publice privind activitatea instanței de judecată. </w:t>
      </w:r>
      <w:r w:rsidR="001F6986">
        <w:t>S</w:t>
      </w:r>
      <w:r>
        <w:t xml:space="preserve">ălile de şedinţă </w:t>
      </w:r>
      <w:r w:rsidR="001F6986">
        <w:t>sunt</w:t>
      </w:r>
      <w:r>
        <w:t xml:space="preserve"> dotate cu TV-ur</w:t>
      </w:r>
      <w:r w:rsidR="008F0026">
        <w:t>i</w:t>
      </w:r>
      <w:r>
        <w:t>, fapt ce a permis instalarea pentru aceste săli a sistemului de afişare în timp real din sălile de judecată.</w:t>
      </w:r>
    </w:p>
    <w:p w:rsidR="0091137D" w:rsidRDefault="0091137D" w:rsidP="0091137D">
      <w:pPr>
        <w:spacing w:line="360" w:lineRule="auto"/>
        <w:ind w:firstLine="708"/>
        <w:jc w:val="both"/>
      </w:pPr>
      <w:r>
        <w:rPr>
          <w:noProof/>
        </w:rPr>
        <w:t xml:space="preserve">Fiecare judecător si personalul auxiliar de specialitate </w:t>
      </w:r>
      <w:r>
        <w:t>beneficiază de acces la calculator, conectat la imprimantă, precum şi la reţeaua de internet. În acest mod, se pot consulta programele de legislaţie şi practică judiciară.</w:t>
      </w:r>
    </w:p>
    <w:p w:rsidR="0091137D" w:rsidRDefault="0091137D" w:rsidP="0091137D">
      <w:pPr>
        <w:spacing w:line="360" w:lineRule="auto"/>
        <w:ind w:firstLine="720"/>
        <w:jc w:val="both"/>
      </w:pPr>
      <w:r>
        <w:t>Probleme</w:t>
      </w:r>
      <w:r w:rsidR="00B850EB">
        <w:t>le</w:t>
      </w:r>
      <w:r>
        <w:t xml:space="preserve"> identificate la nivelul instanţei, la momentul actual sunt cele legate</w:t>
      </w:r>
      <w:r w:rsidR="00876F93">
        <w:t xml:space="preserve"> de  învechirea tehnicii de calcul</w:t>
      </w:r>
      <w:r>
        <w:t xml:space="preserve"> și a lipsei unui mobilier adecvat atât în camera de consiliu cât și în alte birouri</w:t>
      </w:r>
      <w:r w:rsidR="00704255">
        <w:t xml:space="preserve"> destinate desfășurării activității.</w:t>
      </w:r>
    </w:p>
    <w:p w:rsidR="009542AB" w:rsidRDefault="004C6762" w:rsidP="00F21E33">
      <w:pPr>
        <w:spacing w:line="360" w:lineRule="auto"/>
        <w:ind w:firstLine="539"/>
        <w:jc w:val="both"/>
        <w:rPr>
          <w:b/>
        </w:rPr>
      </w:pPr>
      <w:r>
        <w:t>Este de menţi</w:t>
      </w:r>
      <w:r w:rsidR="008B369B">
        <w:t>onat, totodată, că in anul 201</w:t>
      </w:r>
      <w:r w:rsidR="001F6986">
        <w:t>7</w:t>
      </w:r>
      <w:r>
        <w:t xml:space="preserve"> nivelul de finanţare al instanţei a</w:t>
      </w:r>
      <w:r w:rsidR="008B369B">
        <w:t xml:space="preserve"> </w:t>
      </w:r>
      <w:r>
        <w:t>fost unul satis</w:t>
      </w:r>
      <w:r w:rsidR="008B369B">
        <w:t>făcător. Fondurile bugetare alocate instanţei în anul 201</w:t>
      </w:r>
      <w:r w:rsidR="001F6986">
        <w:t>7</w:t>
      </w:r>
      <w:r w:rsidR="008B369B">
        <w:t xml:space="preserve"> </w:t>
      </w:r>
      <w:r w:rsidR="001F6986">
        <w:t>fiind</w:t>
      </w:r>
      <w:r w:rsidR="008B369B">
        <w:t xml:space="preserve"> suficiente pentru finanţarea activităţii curente</w:t>
      </w:r>
      <w:r w:rsidR="00F21E33">
        <w:t>.</w:t>
      </w:r>
    </w:p>
    <w:p w:rsidR="004C6762" w:rsidRDefault="004C6762" w:rsidP="00FA5C96">
      <w:pPr>
        <w:spacing w:line="360" w:lineRule="auto"/>
      </w:pPr>
      <w:r>
        <w:t>,</w:t>
      </w:r>
    </w:p>
    <w:p w:rsidR="004C6762" w:rsidRDefault="00972D2D" w:rsidP="00FA5C96">
      <w:pPr>
        <w:spacing w:line="360" w:lineRule="auto"/>
        <w:ind w:firstLine="708"/>
        <w:rPr>
          <w:b/>
        </w:rPr>
      </w:pPr>
      <w:r>
        <w:rPr>
          <w:b/>
        </w:rPr>
        <w:t>IV</w:t>
      </w:r>
      <w:r w:rsidR="00BE5417">
        <w:rPr>
          <w:b/>
        </w:rPr>
        <w:t>.</w:t>
      </w:r>
      <w:r w:rsidR="004C6762" w:rsidRPr="00DE5252">
        <w:rPr>
          <w:b/>
        </w:rPr>
        <w:t xml:space="preserve"> </w:t>
      </w:r>
      <w:r w:rsidR="00BE5417">
        <w:rPr>
          <w:b/>
        </w:rPr>
        <w:t>CONCLUZII</w:t>
      </w:r>
    </w:p>
    <w:p w:rsidR="00972D2D" w:rsidRPr="00972D2D" w:rsidRDefault="00972D2D" w:rsidP="00972D2D">
      <w:pPr>
        <w:spacing w:line="360" w:lineRule="auto"/>
        <w:ind w:firstLine="708"/>
        <w:jc w:val="both"/>
        <w:rPr>
          <w:b/>
        </w:rPr>
      </w:pPr>
      <w:r w:rsidRPr="00972D2D">
        <w:t>Raportul de bilanţ aferent activităţii desfăşurate în cursul anului 2017 denotă că activitatea Judecătoriei  Vânju Mare  s-a desfăşurat în condiţii  bune, colectivul acestei instanţe reuşind să atingă rezultate foarte bune, atât din punct de vedere calitativ, cât şi din punct de vedere cantitativ, reflectate în operativitatea medie la nivel de instanţă, cât şi în indicele de casare mediu la nivelul instanţei.</w:t>
      </w:r>
    </w:p>
    <w:p w:rsidR="007E716F" w:rsidRDefault="007E716F" w:rsidP="007E716F">
      <w:pPr>
        <w:spacing w:line="360" w:lineRule="auto"/>
        <w:jc w:val="both"/>
      </w:pPr>
      <w:r>
        <w:tab/>
        <w:t>Apreciem că activitatea Judecătoriei Vânju Mare în cursul  anului 201</w:t>
      </w:r>
      <w:r w:rsidR="009542AB">
        <w:t>7</w:t>
      </w:r>
      <w:r>
        <w:t xml:space="preserve">  s-a desfăşurat  la un nivel superior de profesionalism, efortul judecătorilor şi al grefierilor fiind  considerabil raportat volumului de activitate şi exigenţelor.</w:t>
      </w:r>
    </w:p>
    <w:p w:rsidR="00923BBF" w:rsidRDefault="007E716F" w:rsidP="007E716F">
      <w:pPr>
        <w:spacing w:line="360" w:lineRule="auto"/>
        <w:ind w:right="23" w:firstLine="540"/>
        <w:contextualSpacing/>
        <w:jc w:val="both"/>
      </w:pPr>
      <w:r>
        <w:tab/>
        <w:t xml:space="preserve">În ceea ce priveşte măsurile ce au fost deja luate şi vor fi menţinute în vederea unei eficientizări a activităţii instanţei se numără întâlnirile profesionale cu judecătorii, în cadrul </w:t>
      </w:r>
      <w:r>
        <w:lastRenderedPageBreak/>
        <w:t xml:space="preserve">cărora s-a subliniat importanţa  soluţionării </w:t>
      </w:r>
      <w:r w:rsidR="00006103">
        <w:t xml:space="preserve">în termen rezonabil a cauzelor și </w:t>
      </w:r>
      <w:r>
        <w:t>redactarea hotărârilor în termen.</w:t>
      </w:r>
    </w:p>
    <w:p w:rsidR="00972D2D" w:rsidRPr="00972D2D" w:rsidRDefault="00972D2D" w:rsidP="00972D2D">
      <w:pPr>
        <w:pStyle w:val="Default"/>
        <w:spacing w:line="360" w:lineRule="auto"/>
        <w:ind w:firstLine="720"/>
        <w:jc w:val="both"/>
      </w:pPr>
      <w:r w:rsidRPr="00972D2D">
        <w:t xml:space="preserve">Pentru ca instanţa să poată funcţiona în condiţii normale faţă de volumul ridicat de activitate, se impune </w:t>
      </w:r>
      <w:r>
        <w:t>ocuparea</w:t>
      </w:r>
      <w:r w:rsidRPr="00972D2D">
        <w:t xml:space="preserve"> schemei de personal atât în ceea ce priveşte posturile de judecător, </w:t>
      </w:r>
      <w:r>
        <w:t xml:space="preserve"> cât și </w:t>
      </w:r>
      <w:r w:rsidRPr="00972D2D">
        <w:rPr>
          <w:b/>
          <w:bCs/>
          <w:i/>
          <w:iCs/>
        </w:rPr>
        <w:t xml:space="preserve"> </w:t>
      </w:r>
      <w:r w:rsidRPr="00972D2D">
        <w:t xml:space="preserve">în ceea ce priveşte posturile de grefieri, </w:t>
      </w:r>
      <w:r>
        <w:t xml:space="preserve">iar dacă ar fi posibil chiar o suplimentare a schemei de personal, </w:t>
      </w:r>
      <w:r w:rsidRPr="00972D2D">
        <w:t xml:space="preserve">pentru asigurarea unei încărcături rezonabile pe judecător şi grefier, precum şi o funcţionare optimă a compartimentelor auxiliare ale instanţei. </w:t>
      </w:r>
    </w:p>
    <w:p w:rsidR="00972D2D" w:rsidRPr="00972D2D" w:rsidRDefault="00972D2D" w:rsidP="00972D2D">
      <w:pPr>
        <w:pStyle w:val="Default"/>
        <w:spacing w:line="360" w:lineRule="auto"/>
        <w:ind w:firstLine="720"/>
        <w:jc w:val="both"/>
      </w:pPr>
      <w:r w:rsidRPr="00972D2D">
        <w:t xml:space="preserve">Apreciem că o schemă de personal astfel suplimentată ar conduce, pe de o parte, la descongestionarea volumului de muncă, iar pe de altă parte, ar răspunde nevoilor prezente şi viitoare ale acestei instanţe, cu implicaţii directe în creşterea calităţii actului de justiţie şi o percepţie mai bună asupra activităţii desfăşurate. </w:t>
      </w:r>
    </w:p>
    <w:p w:rsidR="007E716F" w:rsidRPr="00972D2D" w:rsidRDefault="00972D2D" w:rsidP="00972D2D">
      <w:pPr>
        <w:spacing w:line="360" w:lineRule="auto"/>
        <w:ind w:right="23" w:firstLine="540"/>
        <w:contextualSpacing/>
        <w:jc w:val="both"/>
      </w:pPr>
      <w:r w:rsidRPr="00972D2D">
        <w:t xml:space="preserve">O astfel de suplimentare necesită şi suplimentarea resurselor materiale, atât în privinţa spaţiilor de lucru, cât şi în privinţa dotărilor. </w:t>
      </w:r>
      <w:r w:rsidR="007E716F" w:rsidRPr="00972D2D">
        <w:t xml:space="preserve"> </w:t>
      </w:r>
    </w:p>
    <w:p w:rsidR="004C6762" w:rsidRDefault="004C6762" w:rsidP="00FA5C96">
      <w:pPr>
        <w:spacing w:line="360" w:lineRule="auto"/>
      </w:pPr>
    </w:p>
    <w:p w:rsidR="004C6762" w:rsidRDefault="004C6762" w:rsidP="00923BBF">
      <w:pPr>
        <w:spacing w:line="360" w:lineRule="auto"/>
        <w:jc w:val="center"/>
        <w:rPr>
          <w:b/>
        </w:rPr>
      </w:pPr>
      <w:r w:rsidRPr="001C4AC7">
        <w:rPr>
          <w:b/>
        </w:rPr>
        <w:t>PREŞEDINTE,</w:t>
      </w:r>
    </w:p>
    <w:p w:rsidR="001C4AC7" w:rsidRPr="001C4AC7" w:rsidRDefault="001C4AC7" w:rsidP="00923BBF">
      <w:pPr>
        <w:spacing w:line="360" w:lineRule="auto"/>
        <w:jc w:val="center"/>
        <w:rPr>
          <w:b/>
        </w:rPr>
      </w:pPr>
      <w:r>
        <w:rPr>
          <w:b/>
        </w:rPr>
        <w:t>CEAUȘU  ANGELA</w:t>
      </w:r>
    </w:p>
    <w:sectPr w:rsidR="001C4AC7" w:rsidRPr="001C4AC7" w:rsidSect="00F34236">
      <w:footerReference w:type="default" r:id="rId17"/>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D1E" w:rsidRDefault="00EE4D1E" w:rsidP="0052166F">
      <w:r>
        <w:separator/>
      </w:r>
    </w:p>
  </w:endnote>
  <w:endnote w:type="continuationSeparator" w:id="0">
    <w:p w:rsidR="00EE4D1E" w:rsidRDefault="00EE4D1E" w:rsidP="0052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6BC" w:rsidRDefault="00F006BC">
    <w:pPr>
      <w:pStyle w:val="Subsol"/>
      <w:jc w:val="center"/>
    </w:pPr>
    <w:r>
      <w:fldChar w:fldCharType="begin"/>
    </w:r>
    <w:r>
      <w:instrText>PAGE   \* MERGEFORMAT</w:instrText>
    </w:r>
    <w:r>
      <w:fldChar w:fldCharType="separate"/>
    </w:r>
    <w:r w:rsidR="007500C3">
      <w:rPr>
        <w:noProof/>
      </w:rPr>
      <w:t>9</w:t>
    </w:r>
    <w:r>
      <w:fldChar w:fldCharType="end"/>
    </w:r>
  </w:p>
  <w:p w:rsidR="00F006BC" w:rsidRDefault="00F006B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D1E" w:rsidRDefault="00EE4D1E" w:rsidP="0052166F">
      <w:r>
        <w:separator/>
      </w:r>
    </w:p>
  </w:footnote>
  <w:footnote w:type="continuationSeparator" w:id="0">
    <w:p w:rsidR="00EE4D1E" w:rsidRDefault="00EE4D1E" w:rsidP="00521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762"/>
    <w:rsid w:val="00006103"/>
    <w:rsid w:val="00064718"/>
    <w:rsid w:val="00084E53"/>
    <w:rsid w:val="000A563E"/>
    <w:rsid w:val="000B259B"/>
    <w:rsid w:val="000B3793"/>
    <w:rsid w:val="000C7711"/>
    <w:rsid w:val="000C7A9F"/>
    <w:rsid w:val="000D7F39"/>
    <w:rsid w:val="00110C97"/>
    <w:rsid w:val="00152FBE"/>
    <w:rsid w:val="00170534"/>
    <w:rsid w:val="001A1936"/>
    <w:rsid w:val="001C2AEF"/>
    <w:rsid w:val="001C4AC7"/>
    <w:rsid w:val="001E39B0"/>
    <w:rsid w:val="001F20D0"/>
    <w:rsid w:val="001F6986"/>
    <w:rsid w:val="002035C8"/>
    <w:rsid w:val="0022441D"/>
    <w:rsid w:val="002322FB"/>
    <w:rsid w:val="00236B93"/>
    <w:rsid w:val="002419FD"/>
    <w:rsid w:val="0025640B"/>
    <w:rsid w:val="00283AB3"/>
    <w:rsid w:val="002942B2"/>
    <w:rsid w:val="002B13BB"/>
    <w:rsid w:val="002B77DF"/>
    <w:rsid w:val="002D0317"/>
    <w:rsid w:val="002D2F2E"/>
    <w:rsid w:val="002D5F8C"/>
    <w:rsid w:val="002F0705"/>
    <w:rsid w:val="002F20AF"/>
    <w:rsid w:val="002F6EB2"/>
    <w:rsid w:val="00310853"/>
    <w:rsid w:val="00325A05"/>
    <w:rsid w:val="00335002"/>
    <w:rsid w:val="00340662"/>
    <w:rsid w:val="003602F9"/>
    <w:rsid w:val="003A0A88"/>
    <w:rsid w:val="003B2124"/>
    <w:rsid w:val="003C026F"/>
    <w:rsid w:val="003C553B"/>
    <w:rsid w:val="003D2F2D"/>
    <w:rsid w:val="00412CE7"/>
    <w:rsid w:val="004172CF"/>
    <w:rsid w:val="00434F22"/>
    <w:rsid w:val="00441B49"/>
    <w:rsid w:val="00491FD0"/>
    <w:rsid w:val="004B1D2C"/>
    <w:rsid w:val="004B5908"/>
    <w:rsid w:val="004C4456"/>
    <w:rsid w:val="004C6762"/>
    <w:rsid w:val="0052166F"/>
    <w:rsid w:val="005374B2"/>
    <w:rsid w:val="00541C39"/>
    <w:rsid w:val="0054491F"/>
    <w:rsid w:val="005612ED"/>
    <w:rsid w:val="00570E14"/>
    <w:rsid w:val="00571A7D"/>
    <w:rsid w:val="005950CA"/>
    <w:rsid w:val="005F11F2"/>
    <w:rsid w:val="005F65C8"/>
    <w:rsid w:val="006250F5"/>
    <w:rsid w:val="00633B3C"/>
    <w:rsid w:val="006370DD"/>
    <w:rsid w:val="006533BF"/>
    <w:rsid w:val="00684D19"/>
    <w:rsid w:val="00691EB4"/>
    <w:rsid w:val="006C2021"/>
    <w:rsid w:val="006D0640"/>
    <w:rsid w:val="006D4F03"/>
    <w:rsid w:val="006E55F2"/>
    <w:rsid w:val="00704255"/>
    <w:rsid w:val="007500C3"/>
    <w:rsid w:val="00752915"/>
    <w:rsid w:val="00782AAC"/>
    <w:rsid w:val="00787797"/>
    <w:rsid w:val="007D35CA"/>
    <w:rsid w:val="007E716F"/>
    <w:rsid w:val="00827804"/>
    <w:rsid w:val="00852A09"/>
    <w:rsid w:val="00876F93"/>
    <w:rsid w:val="008B369B"/>
    <w:rsid w:val="008D0587"/>
    <w:rsid w:val="008E6AA6"/>
    <w:rsid w:val="008F0026"/>
    <w:rsid w:val="008F55FF"/>
    <w:rsid w:val="008F5CE4"/>
    <w:rsid w:val="00904670"/>
    <w:rsid w:val="0091137D"/>
    <w:rsid w:val="009128AF"/>
    <w:rsid w:val="00923BBF"/>
    <w:rsid w:val="009542AB"/>
    <w:rsid w:val="00957E5F"/>
    <w:rsid w:val="00972D2D"/>
    <w:rsid w:val="009A7C00"/>
    <w:rsid w:val="009B041A"/>
    <w:rsid w:val="009C055F"/>
    <w:rsid w:val="009C6FB0"/>
    <w:rsid w:val="009E69A8"/>
    <w:rsid w:val="00A06FA4"/>
    <w:rsid w:val="00A22FCB"/>
    <w:rsid w:val="00A314D5"/>
    <w:rsid w:val="00A77C9C"/>
    <w:rsid w:val="00A80B7C"/>
    <w:rsid w:val="00AD1748"/>
    <w:rsid w:val="00B17923"/>
    <w:rsid w:val="00B25104"/>
    <w:rsid w:val="00B850EB"/>
    <w:rsid w:val="00BA6431"/>
    <w:rsid w:val="00BB65FB"/>
    <w:rsid w:val="00BC7A98"/>
    <w:rsid w:val="00BE5417"/>
    <w:rsid w:val="00BF2522"/>
    <w:rsid w:val="00C33079"/>
    <w:rsid w:val="00C45D03"/>
    <w:rsid w:val="00C62E5F"/>
    <w:rsid w:val="00C76D4E"/>
    <w:rsid w:val="00CB1655"/>
    <w:rsid w:val="00CD3650"/>
    <w:rsid w:val="00CD42CC"/>
    <w:rsid w:val="00D1294E"/>
    <w:rsid w:val="00D25B0F"/>
    <w:rsid w:val="00D7310D"/>
    <w:rsid w:val="00DB21AC"/>
    <w:rsid w:val="00DD13DC"/>
    <w:rsid w:val="00DE5252"/>
    <w:rsid w:val="00DF4F66"/>
    <w:rsid w:val="00E0463E"/>
    <w:rsid w:val="00E178F9"/>
    <w:rsid w:val="00E426BF"/>
    <w:rsid w:val="00E46FF8"/>
    <w:rsid w:val="00E834C1"/>
    <w:rsid w:val="00EE4D1E"/>
    <w:rsid w:val="00F006BC"/>
    <w:rsid w:val="00F0138C"/>
    <w:rsid w:val="00F21E33"/>
    <w:rsid w:val="00F34236"/>
    <w:rsid w:val="00F5386D"/>
    <w:rsid w:val="00F549CA"/>
    <w:rsid w:val="00FA5C96"/>
    <w:rsid w:val="00FB7298"/>
    <w:rsid w:val="00FD028A"/>
    <w:rsid w:val="00FE17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rsid w:val="00541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
    <w:rsid w:val="000B259B"/>
    <w:pPr>
      <w:widowControl w:val="0"/>
      <w:autoSpaceDE w:val="0"/>
      <w:autoSpaceDN w:val="0"/>
      <w:adjustRightInd w:val="0"/>
      <w:spacing w:line="368" w:lineRule="exact"/>
      <w:ind w:firstLine="1037"/>
      <w:jc w:val="both"/>
    </w:pPr>
  </w:style>
  <w:style w:type="character" w:customStyle="1" w:styleId="FontStyle25">
    <w:name w:val="Font Style25"/>
    <w:rsid w:val="000B259B"/>
    <w:rPr>
      <w:rFonts w:ascii="Times New Roman" w:hAnsi="Times New Roman" w:cs="Times New Roman"/>
      <w:sz w:val="30"/>
      <w:szCs w:val="30"/>
    </w:rPr>
  </w:style>
  <w:style w:type="character" w:customStyle="1" w:styleId="maincontent1">
    <w:name w:val="maincontent1"/>
    <w:rsid w:val="005612ED"/>
    <w:rPr>
      <w:rFonts w:ascii="Verdana" w:hAnsi="Verdana" w:hint="default"/>
      <w:b w:val="0"/>
      <w:bCs w:val="0"/>
      <w:i w:val="0"/>
      <w:iCs w:val="0"/>
      <w:color w:val="004488"/>
      <w:sz w:val="18"/>
      <w:szCs w:val="18"/>
    </w:rPr>
  </w:style>
  <w:style w:type="character" w:customStyle="1" w:styleId="label">
    <w:name w:val="label"/>
    <w:rsid w:val="00AD1748"/>
    <w:rPr>
      <w:rFonts w:ascii="Cambria" w:hAnsi="Cambria" w:hint="default"/>
      <w:b w:val="0"/>
      <w:bCs w:val="0"/>
      <w:color w:val="153E6C"/>
      <w:sz w:val="21"/>
      <w:szCs w:val="21"/>
    </w:rPr>
  </w:style>
  <w:style w:type="paragraph" w:styleId="Antet">
    <w:name w:val="header"/>
    <w:basedOn w:val="Normal"/>
    <w:link w:val="AntetCaracter"/>
    <w:rsid w:val="0052166F"/>
    <w:pPr>
      <w:tabs>
        <w:tab w:val="center" w:pos="4536"/>
        <w:tab w:val="right" w:pos="9072"/>
      </w:tabs>
    </w:pPr>
  </w:style>
  <w:style w:type="character" w:customStyle="1" w:styleId="AntetCaracter">
    <w:name w:val="Antet Caracter"/>
    <w:link w:val="Antet"/>
    <w:rsid w:val="0052166F"/>
    <w:rPr>
      <w:sz w:val="24"/>
      <w:szCs w:val="24"/>
    </w:rPr>
  </w:style>
  <w:style w:type="paragraph" w:styleId="Subsol">
    <w:name w:val="footer"/>
    <w:basedOn w:val="Normal"/>
    <w:link w:val="SubsolCaracter"/>
    <w:uiPriority w:val="99"/>
    <w:rsid w:val="0052166F"/>
    <w:pPr>
      <w:tabs>
        <w:tab w:val="center" w:pos="4536"/>
        <w:tab w:val="right" w:pos="9072"/>
      </w:tabs>
    </w:pPr>
  </w:style>
  <w:style w:type="character" w:customStyle="1" w:styleId="SubsolCaracter">
    <w:name w:val="Subsol Caracter"/>
    <w:link w:val="Subsol"/>
    <w:uiPriority w:val="99"/>
    <w:rsid w:val="0052166F"/>
    <w:rPr>
      <w:sz w:val="24"/>
      <w:szCs w:val="24"/>
    </w:rPr>
  </w:style>
  <w:style w:type="paragraph" w:customStyle="1" w:styleId="Default">
    <w:name w:val="Default"/>
    <w:rsid w:val="002322FB"/>
    <w:pPr>
      <w:autoSpaceDE w:val="0"/>
      <w:autoSpaceDN w:val="0"/>
      <w:adjustRightInd w:val="0"/>
    </w:pPr>
    <w:rPr>
      <w:color w:val="000000"/>
      <w:sz w:val="24"/>
      <w:szCs w:val="24"/>
    </w:rPr>
  </w:style>
  <w:style w:type="paragraph" w:styleId="TextnBalon">
    <w:name w:val="Balloon Text"/>
    <w:basedOn w:val="Normal"/>
    <w:link w:val="TextnBalonCaracter"/>
    <w:rsid w:val="00B25104"/>
    <w:rPr>
      <w:rFonts w:ascii="Tahoma" w:hAnsi="Tahoma" w:cs="Tahoma"/>
      <w:sz w:val="16"/>
      <w:szCs w:val="16"/>
    </w:rPr>
  </w:style>
  <w:style w:type="character" w:customStyle="1" w:styleId="TextnBalonCaracter">
    <w:name w:val="Text în Balon Caracter"/>
    <w:link w:val="TextnBalon"/>
    <w:rsid w:val="00B251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rsid w:val="00541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
    <w:rsid w:val="000B259B"/>
    <w:pPr>
      <w:widowControl w:val="0"/>
      <w:autoSpaceDE w:val="0"/>
      <w:autoSpaceDN w:val="0"/>
      <w:adjustRightInd w:val="0"/>
      <w:spacing w:line="368" w:lineRule="exact"/>
      <w:ind w:firstLine="1037"/>
      <w:jc w:val="both"/>
    </w:pPr>
  </w:style>
  <w:style w:type="character" w:customStyle="1" w:styleId="FontStyle25">
    <w:name w:val="Font Style25"/>
    <w:rsid w:val="000B259B"/>
    <w:rPr>
      <w:rFonts w:ascii="Times New Roman" w:hAnsi="Times New Roman" w:cs="Times New Roman"/>
      <w:sz w:val="30"/>
      <w:szCs w:val="30"/>
    </w:rPr>
  </w:style>
  <w:style w:type="character" w:customStyle="1" w:styleId="maincontent1">
    <w:name w:val="maincontent1"/>
    <w:rsid w:val="005612ED"/>
    <w:rPr>
      <w:rFonts w:ascii="Verdana" w:hAnsi="Verdana" w:hint="default"/>
      <w:b w:val="0"/>
      <w:bCs w:val="0"/>
      <w:i w:val="0"/>
      <w:iCs w:val="0"/>
      <w:color w:val="004488"/>
      <w:sz w:val="18"/>
      <w:szCs w:val="18"/>
    </w:rPr>
  </w:style>
  <w:style w:type="character" w:customStyle="1" w:styleId="label">
    <w:name w:val="label"/>
    <w:rsid w:val="00AD1748"/>
    <w:rPr>
      <w:rFonts w:ascii="Cambria" w:hAnsi="Cambria" w:hint="default"/>
      <w:b w:val="0"/>
      <w:bCs w:val="0"/>
      <w:color w:val="153E6C"/>
      <w:sz w:val="21"/>
      <w:szCs w:val="21"/>
    </w:rPr>
  </w:style>
  <w:style w:type="paragraph" w:styleId="Antet">
    <w:name w:val="header"/>
    <w:basedOn w:val="Normal"/>
    <w:link w:val="AntetCaracter"/>
    <w:rsid w:val="0052166F"/>
    <w:pPr>
      <w:tabs>
        <w:tab w:val="center" w:pos="4536"/>
        <w:tab w:val="right" w:pos="9072"/>
      </w:tabs>
    </w:pPr>
  </w:style>
  <w:style w:type="character" w:customStyle="1" w:styleId="AntetCaracter">
    <w:name w:val="Antet Caracter"/>
    <w:link w:val="Antet"/>
    <w:rsid w:val="0052166F"/>
    <w:rPr>
      <w:sz w:val="24"/>
      <w:szCs w:val="24"/>
    </w:rPr>
  </w:style>
  <w:style w:type="paragraph" w:styleId="Subsol">
    <w:name w:val="footer"/>
    <w:basedOn w:val="Normal"/>
    <w:link w:val="SubsolCaracter"/>
    <w:uiPriority w:val="99"/>
    <w:rsid w:val="0052166F"/>
    <w:pPr>
      <w:tabs>
        <w:tab w:val="center" w:pos="4536"/>
        <w:tab w:val="right" w:pos="9072"/>
      </w:tabs>
    </w:pPr>
  </w:style>
  <w:style w:type="character" w:customStyle="1" w:styleId="SubsolCaracter">
    <w:name w:val="Subsol Caracter"/>
    <w:link w:val="Subsol"/>
    <w:uiPriority w:val="99"/>
    <w:rsid w:val="0052166F"/>
    <w:rPr>
      <w:sz w:val="24"/>
      <w:szCs w:val="24"/>
    </w:rPr>
  </w:style>
  <w:style w:type="paragraph" w:customStyle="1" w:styleId="Default">
    <w:name w:val="Default"/>
    <w:rsid w:val="002322FB"/>
    <w:pPr>
      <w:autoSpaceDE w:val="0"/>
      <w:autoSpaceDN w:val="0"/>
      <w:adjustRightInd w:val="0"/>
    </w:pPr>
    <w:rPr>
      <w:color w:val="000000"/>
      <w:sz w:val="24"/>
      <w:szCs w:val="24"/>
    </w:rPr>
  </w:style>
  <w:style w:type="paragraph" w:styleId="TextnBalon">
    <w:name w:val="Balloon Text"/>
    <w:basedOn w:val="Normal"/>
    <w:link w:val="TextnBalonCaracter"/>
    <w:rsid w:val="00B25104"/>
    <w:rPr>
      <w:rFonts w:ascii="Tahoma" w:hAnsi="Tahoma" w:cs="Tahoma"/>
      <w:sz w:val="16"/>
      <w:szCs w:val="16"/>
    </w:rPr>
  </w:style>
  <w:style w:type="character" w:customStyle="1" w:styleId="TextnBalonCaracter">
    <w:name w:val="Text în Balon Caracter"/>
    <w:link w:val="TextnBalon"/>
    <w:rsid w:val="00B251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7295">
      <w:bodyDiv w:val="1"/>
      <w:marLeft w:val="0"/>
      <w:marRight w:val="0"/>
      <w:marTop w:val="15"/>
      <w:marBottom w:val="0"/>
      <w:divBdr>
        <w:top w:val="none" w:sz="0" w:space="0" w:color="auto"/>
        <w:left w:val="none" w:sz="0" w:space="0" w:color="auto"/>
        <w:bottom w:val="none" w:sz="0" w:space="0" w:color="auto"/>
        <w:right w:val="none" w:sz="0" w:space="0" w:color="auto"/>
      </w:divBdr>
    </w:div>
    <w:div w:id="40401856">
      <w:bodyDiv w:val="1"/>
      <w:marLeft w:val="0"/>
      <w:marRight w:val="0"/>
      <w:marTop w:val="0"/>
      <w:marBottom w:val="0"/>
      <w:divBdr>
        <w:top w:val="none" w:sz="0" w:space="0" w:color="auto"/>
        <w:left w:val="none" w:sz="0" w:space="0" w:color="auto"/>
        <w:bottom w:val="none" w:sz="0" w:space="0" w:color="auto"/>
        <w:right w:val="none" w:sz="0" w:space="0" w:color="auto"/>
      </w:divBdr>
    </w:div>
    <w:div w:id="167333416">
      <w:bodyDiv w:val="1"/>
      <w:marLeft w:val="0"/>
      <w:marRight w:val="0"/>
      <w:marTop w:val="0"/>
      <w:marBottom w:val="0"/>
      <w:divBdr>
        <w:top w:val="none" w:sz="0" w:space="0" w:color="auto"/>
        <w:left w:val="none" w:sz="0" w:space="0" w:color="auto"/>
        <w:bottom w:val="none" w:sz="0" w:space="0" w:color="auto"/>
        <w:right w:val="none" w:sz="0" w:space="0" w:color="auto"/>
      </w:divBdr>
    </w:div>
    <w:div w:id="228611851">
      <w:bodyDiv w:val="1"/>
      <w:marLeft w:val="0"/>
      <w:marRight w:val="0"/>
      <w:marTop w:val="0"/>
      <w:marBottom w:val="0"/>
      <w:divBdr>
        <w:top w:val="none" w:sz="0" w:space="0" w:color="auto"/>
        <w:left w:val="none" w:sz="0" w:space="0" w:color="auto"/>
        <w:bottom w:val="none" w:sz="0" w:space="0" w:color="auto"/>
        <w:right w:val="none" w:sz="0" w:space="0" w:color="auto"/>
      </w:divBdr>
    </w:div>
    <w:div w:id="275790534">
      <w:bodyDiv w:val="1"/>
      <w:marLeft w:val="0"/>
      <w:marRight w:val="0"/>
      <w:marTop w:val="15"/>
      <w:marBottom w:val="0"/>
      <w:divBdr>
        <w:top w:val="none" w:sz="0" w:space="0" w:color="auto"/>
        <w:left w:val="none" w:sz="0" w:space="0" w:color="auto"/>
        <w:bottom w:val="none" w:sz="0" w:space="0" w:color="auto"/>
        <w:right w:val="none" w:sz="0" w:space="0" w:color="auto"/>
      </w:divBdr>
    </w:div>
    <w:div w:id="382363835">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45219658">
      <w:bodyDiv w:val="1"/>
      <w:marLeft w:val="0"/>
      <w:marRight w:val="0"/>
      <w:marTop w:val="0"/>
      <w:marBottom w:val="0"/>
      <w:divBdr>
        <w:top w:val="none" w:sz="0" w:space="0" w:color="auto"/>
        <w:left w:val="none" w:sz="0" w:space="0" w:color="auto"/>
        <w:bottom w:val="none" w:sz="0" w:space="0" w:color="auto"/>
        <w:right w:val="none" w:sz="0" w:space="0" w:color="auto"/>
      </w:divBdr>
    </w:div>
    <w:div w:id="580874380">
      <w:bodyDiv w:val="1"/>
      <w:marLeft w:val="0"/>
      <w:marRight w:val="0"/>
      <w:marTop w:val="0"/>
      <w:marBottom w:val="0"/>
      <w:divBdr>
        <w:top w:val="none" w:sz="0" w:space="0" w:color="auto"/>
        <w:left w:val="none" w:sz="0" w:space="0" w:color="auto"/>
        <w:bottom w:val="none" w:sz="0" w:space="0" w:color="auto"/>
        <w:right w:val="none" w:sz="0" w:space="0" w:color="auto"/>
      </w:divBdr>
    </w:div>
    <w:div w:id="606929892">
      <w:bodyDiv w:val="1"/>
      <w:marLeft w:val="0"/>
      <w:marRight w:val="0"/>
      <w:marTop w:val="0"/>
      <w:marBottom w:val="0"/>
      <w:divBdr>
        <w:top w:val="none" w:sz="0" w:space="0" w:color="auto"/>
        <w:left w:val="none" w:sz="0" w:space="0" w:color="auto"/>
        <w:bottom w:val="none" w:sz="0" w:space="0" w:color="auto"/>
        <w:right w:val="none" w:sz="0" w:space="0" w:color="auto"/>
      </w:divBdr>
    </w:div>
    <w:div w:id="747724860">
      <w:bodyDiv w:val="1"/>
      <w:marLeft w:val="0"/>
      <w:marRight w:val="0"/>
      <w:marTop w:val="0"/>
      <w:marBottom w:val="0"/>
      <w:divBdr>
        <w:top w:val="none" w:sz="0" w:space="0" w:color="auto"/>
        <w:left w:val="none" w:sz="0" w:space="0" w:color="auto"/>
        <w:bottom w:val="none" w:sz="0" w:space="0" w:color="auto"/>
        <w:right w:val="none" w:sz="0" w:space="0" w:color="auto"/>
      </w:divBdr>
    </w:div>
    <w:div w:id="1759053678">
      <w:bodyDiv w:val="1"/>
      <w:marLeft w:val="0"/>
      <w:marRight w:val="0"/>
      <w:marTop w:val="0"/>
      <w:marBottom w:val="0"/>
      <w:divBdr>
        <w:top w:val="none" w:sz="0" w:space="0" w:color="auto"/>
        <w:left w:val="none" w:sz="0" w:space="0" w:color="auto"/>
        <w:bottom w:val="none" w:sz="0" w:space="0" w:color="auto"/>
        <w:right w:val="none" w:sz="0" w:space="0" w:color="auto"/>
      </w:divBdr>
    </w:div>
    <w:div w:id="1845590186">
      <w:bodyDiv w:val="1"/>
      <w:marLeft w:val="0"/>
      <w:marRight w:val="0"/>
      <w:marTop w:val="0"/>
      <w:marBottom w:val="0"/>
      <w:divBdr>
        <w:top w:val="none" w:sz="0" w:space="0" w:color="auto"/>
        <w:left w:val="none" w:sz="0" w:space="0" w:color="auto"/>
        <w:bottom w:val="none" w:sz="0" w:space="0" w:color="auto"/>
        <w:right w:val="none" w:sz="0" w:space="0" w:color="auto"/>
      </w:divBdr>
    </w:div>
    <w:div w:id="1900895503">
      <w:bodyDiv w:val="1"/>
      <w:marLeft w:val="0"/>
      <w:marRight w:val="0"/>
      <w:marTop w:val="15"/>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ustomXml" Target="../customXml/item5.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a:lstStyle/>
          <a:p>
            <a:pPr>
              <a:defRPr/>
            </a:pPr>
            <a:r>
              <a:rPr lang="ro-RO" sz="1393"/>
              <a:t>Evoluţia</a:t>
            </a:r>
            <a:r>
              <a:rPr lang="ro-RO" sz="1393" baseline="0"/>
              <a:t> generală  a dosarelor nou intrate  </a:t>
            </a:r>
            <a:endParaRPr lang="en-US" sz="1400"/>
          </a:p>
        </c:rich>
      </c:tx>
      <c:overlay val="0"/>
    </c:title>
    <c:autoTitleDeleted val="0"/>
    <c:view3D>
      <c:rotX val="15"/>
      <c:rotY val="20"/>
      <c:depthPercent val="100"/>
      <c:rAngAx val="0"/>
      <c:perspective val="30"/>
    </c:view3D>
    <c:floor>
      <c:thickness val="0"/>
    </c:floor>
    <c:sideWall>
      <c:thickness val="0"/>
    </c:sideWall>
    <c:backWall>
      <c:thickness val="0"/>
    </c:backWall>
    <c:plotArea>
      <c:layout/>
      <c:bar3DChart>
        <c:barDir val="col"/>
        <c:grouping val="clustered"/>
        <c:varyColors val="0"/>
        <c:ser>
          <c:idx val="0"/>
          <c:order val="0"/>
          <c:tx>
            <c:strRef>
              <c:f>Foaie1!$B$1</c:f>
              <c:strCache>
                <c:ptCount val="1"/>
                <c:pt idx="0">
                  <c:v>Coloană1</c:v>
                </c:pt>
              </c:strCache>
            </c:strRef>
          </c:tx>
          <c:spPr>
            <a:effectLst>
              <a:outerShdw blurRad="50800" dist="50800" dir="5400000" algn="ctr" rotWithShape="0">
                <a:srgbClr val="0070C0"/>
              </a:outerShdw>
            </a:effectLst>
          </c:spPr>
          <c:invertIfNegative val="0"/>
          <c:dLbls>
            <c:showLegendKey val="0"/>
            <c:showVal val="1"/>
            <c:showCatName val="0"/>
            <c:showSerName val="0"/>
            <c:showPercent val="0"/>
            <c:showBubbleSize val="0"/>
            <c:showLeaderLines val="0"/>
          </c:dLbls>
          <c:cat>
            <c:numRef>
              <c:f>Foaie1!$A$2:$A$4</c:f>
              <c:numCache>
                <c:formatCode>General</c:formatCode>
                <c:ptCount val="3"/>
                <c:pt idx="0">
                  <c:v>2015</c:v>
                </c:pt>
                <c:pt idx="1">
                  <c:v>2016</c:v>
                </c:pt>
                <c:pt idx="2">
                  <c:v>2017</c:v>
                </c:pt>
              </c:numCache>
            </c:numRef>
          </c:cat>
          <c:val>
            <c:numRef>
              <c:f>Foaie1!$B$2:$B$4</c:f>
              <c:numCache>
                <c:formatCode>General</c:formatCode>
                <c:ptCount val="3"/>
                <c:pt idx="0">
                  <c:v>2818</c:v>
                </c:pt>
                <c:pt idx="1">
                  <c:v>5526</c:v>
                </c:pt>
                <c:pt idx="2">
                  <c:v>4548</c:v>
                </c:pt>
              </c:numCache>
            </c:numRef>
          </c:val>
        </c:ser>
        <c:dLbls>
          <c:showLegendKey val="0"/>
          <c:showVal val="0"/>
          <c:showCatName val="0"/>
          <c:showSerName val="0"/>
          <c:showPercent val="0"/>
          <c:showBubbleSize val="0"/>
        </c:dLbls>
        <c:gapWidth val="150"/>
        <c:shape val="cylinder"/>
        <c:axId val="69430656"/>
        <c:axId val="69694592"/>
        <c:axId val="0"/>
      </c:bar3DChart>
      <c:catAx>
        <c:axId val="69430656"/>
        <c:scaling>
          <c:orientation val="minMax"/>
        </c:scaling>
        <c:delete val="0"/>
        <c:axPos val="b"/>
        <c:numFmt formatCode="General" sourceLinked="1"/>
        <c:majorTickMark val="out"/>
        <c:minorTickMark val="none"/>
        <c:tickLblPos val="nextTo"/>
        <c:crossAx val="69694592"/>
        <c:crosses val="autoZero"/>
        <c:auto val="1"/>
        <c:lblAlgn val="ctr"/>
        <c:lblOffset val="100"/>
        <c:noMultiLvlLbl val="0"/>
      </c:catAx>
      <c:valAx>
        <c:axId val="69694592"/>
        <c:scaling>
          <c:orientation val="minMax"/>
          <c:max val="6000"/>
        </c:scaling>
        <c:delete val="0"/>
        <c:axPos val="l"/>
        <c:majorGridlines/>
        <c:numFmt formatCode="General" sourceLinked="1"/>
        <c:majorTickMark val="out"/>
        <c:minorTickMark val="none"/>
        <c:tickLblPos val="nextTo"/>
        <c:crossAx val="69430656"/>
        <c:crosses val="autoZero"/>
        <c:crossBetween val="between"/>
      </c:valAx>
      <c:spPr>
        <a:noFill/>
        <a:ln w="25377">
          <a:noFill/>
        </a:ln>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a:lstStyle/>
          <a:p>
            <a:pPr>
              <a:defRPr/>
            </a:pPr>
            <a:r>
              <a:rPr lang="ro-RO"/>
              <a:t>Civil</a:t>
            </a:r>
            <a:endParaRPr lang="en-US"/>
          </a:p>
        </c:rich>
      </c:tx>
      <c:overlay val="0"/>
    </c:title>
    <c:autoTitleDeleted val="0"/>
    <c:view3D>
      <c:rotX val="15"/>
      <c:rotY val="20"/>
      <c:depthPercent val="100"/>
      <c:rAngAx val="0"/>
      <c:perspective val="30"/>
    </c:view3D>
    <c:floor>
      <c:thickness val="0"/>
    </c:floor>
    <c:sideWall>
      <c:thickness val="0"/>
    </c:sideWall>
    <c:backWall>
      <c:thickness val="0"/>
    </c:backWall>
    <c:plotArea>
      <c:layout/>
      <c:bar3DChart>
        <c:barDir val="col"/>
        <c:grouping val="clustered"/>
        <c:varyColors val="0"/>
        <c:ser>
          <c:idx val="0"/>
          <c:order val="0"/>
          <c:tx>
            <c:strRef>
              <c:f>Foaie1!$B$1</c:f>
              <c:strCache>
                <c:ptCount val="1"/>
                <c:pt idx="0">
                  <c:v>Coloană1</c:v>
                </c:pt>
              </c:strCache>
            </c:strRef>
          </c:tx>
          <c:invertIfNegative val="0"/>
          <c:dLbls>
            <c:showLegendKey val="0"/>
            <c:showVal val="1"/>
            <c:showCatName val="0"/>
            <c:showSerName val="0"/>
            <c:showPercent val="0"/>
            <c:showBubbleSize val="0"/>
            <c:showLeaderLines val="0"/>
          </c:dLbls>
          <c:cat>
            <c:numRef>
              <c:f>Foaie1!$A$2:$A$4</c:f>
              <c:numCache>
                <c:formatCode>General</c:formatCode>
                <c:ptCount val="3"/>
                <c:pt idx="0">
                  <c:v>2015</c:v>
                </c:pt>
                <c:pt idx="1">
                  <c:v>2016</c:v>
                </c:pt>
                <c:pt idx="2">
                  <c:v>2017</c:v>
                </c:pt>
              </c:numCache>
            </c:numRef>
          </c:cat>
          <c:val>
            <c:numRef>
              <c:f>Foaie1!$B$2:$B$4</c:f>
              <c:numCache>
                <c:formatCode>General</c:formatCode>
                <c:ptCount val="3"/>
                <c:pt idx="0">
                  <c:v>2393</c:v>
                </c:pt>
                <c:pt idx="1">
                  <c:v>4321</c:v>
                </c:pt>
                <c:pt idx="2">
                  <c:v>3483</c:v>
                </c:pt>
              </c:numCache>
            </c:numRef>
          </c:val>
        </c:ser>
        <c:dLbls>
          <c:showLegendKey val="0"/>
          <c:showVal val="0"/>
          <c:showCatName val="0"/>
          <c:showSerName val="0"/>
          <c:showPercent val="0"/>
          <c:showBubbleSize val="0"/>
        </c:dLbls>
        <c:gapWidth val="150"/>
        <c:shape val="cylinder"/>
        <c:axId val="69715456"/>
        <c:axId val="69716992"/>
        <c:axId val="0"/>
      </c:bar3DChart>
      <c:catAx>
        <c:axId val="69715456"/>
        <c:scaling>
          <c:orientation val="minMax"/>
        </c:scaling>
        <c:delete val="0"/>
        <c:axPos val="b"/>
        <c:numFmt formatCode="General" sourceLinked="1"/>
        <c:majorTickMark val="out"/>
        <c:minorTickMark val="none"/>
        <c:tickLblPos val="nextTo"/>
        <c:crossAx val="69716992"/>
        <c:crosses val="autoZero"/>
        <c:auto val="1"/>
        <c:lblAlgn val="ctr"/>
        <c:lblOffset val="100"/>
        <c:noMultiLvlLbl val="0"/>
      </c:catAx>
      <c:valAx>
        <c:axId val="69716992"/>
        <c:scaling>
          <c:orientation val="minMax"/>
          <c:max val="5000"/>
        </c:scaling>
        <c:delete val="0"/>
        <c:axPos val="l"/>
        <c:majorGridlines/>
        <c:numFmt formatCode="General" sourceLinked="1"/>
        <c:majorTickMark val="out"/>
        <c:minorTickMark val="none"/>
        <c:tickLblPos val="nextTo"/>
        <c:crossAx val="69715456"/>
        <c:crosses val="autoZero"/>
        <c:crossBetween val="between"/>
      </c:valAx>
      <c:spPr>
        <a:noFill/>
        <a:ln w="25366">
          <a:noFill/>
        </a:ln>
      </c:spPr>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a:lstStyle/>
          <a:p>
            <a:pPr>
              <a:defRPr/>
            </a:pPr>
            <a:r>
              <a:rPr lang="ro-RO"/>
              <a:t>Penal</a:t>
            </a:r>
            <a:endParaRPr lang="en-US"/>
          </a:p>
        </c:rich>
      </c:tx>
      <c:overlay val="0"/>
    </c:title>
    <c:autoTitleDeleted val="0"/>
    <c:view3D>
      <c:rotX val="15"/>
      <c:rotY val="20"/>
      <c:depthPercent val="100"/>
      <c:rAngAx val="0"/>
      <c:perspective val="30"/>
    </c:view3D>
    <c:floor>
      <c:thickness val="0"/>
    </c:floor>
    <c:sideWall>
      <c:thickness val="0"/>
    </c:sideWall>
    <c:backWall>
      <c:thickness val="0"/>
    </c:backWall>
    <c:plotArea>
      <c:layout/>
      <c:bar3DChart>
        <c:barDir val="col"/>
        <c:grouping val="clustered"/>
        <c:varyColors val="0"/>
        <c:ser>
          <c:idx val="0"/>
          <c:order val="0"/>
          <c:tx>
            <c:strRef>
              <c:f>Foaie1!$B$1</c:f>
              <c:strCache>
                <c:ptCount val="1"/>
                <c:pt idx="0">
                  <c:v>Coloană1</c:v>
                </c:pt>
              </c:strCache>
            </c:strRef>
          </c:tx>
          <c:invertIfNegative val="0"/>
          <c:dLbls>
            <c:showLegendKey val="0"/>
            <c:showVal val="1"/>
            <c:showCatName val="0"/>
            <c:showSerName val="0"/>
            <c:showPercent val="0"/>
            <c:showBubbleSize val="0"/>
            <c:showLeaderLines val="0"/>
          </c:dLbls>
          <c:cat>
            <c:numRef>
              <c:f>Foaie1!$A$2:$A$4</c:f>
              <c:numCache>
                <c:formatCode>General</c:formatCode>
                <c:ptCount val="3"/>
                <c:pt idx="0">
                  <c:v>2015</c:v>
                </c:pt>
                <c:pt idx="1">
                  <c:v>2016</c:v>
                </c:pt>
                <c:pt idx="2">
                  <c:v>2017</c:v>
                </c:pt>
              </c:numCache>
            </c:numRef>
          </c:cat>
          <c:val>
            <c:numRef>
              <c:f>Foaie1!$B$2:$B$4</c:f>
              <c:numCache>
                <c:formatCode>General</c:formatCode>
                <c:ptCount val="3"/>
                <c:pt idx="0">
                  <c:v>425</c:v>
                </c:pt>
                <c:pt idx="1">
                  <c:v>1205</c:v>
                </c:pt>
                <c:pt idx="2">
                  <c:v>1065</c:v>
                </c:pt>
              </c:numCache>
            </c:numRef>
          </c:val>
        </c:ser>
        <c:dLbls>
          <c:showLegendKey val="0"/>
          <c:showVal val="0"/>
          <c:showCatName val="0"/>
          <c:showSerName val="0"/>
          <c:showPercent val="0"/>
          <c:showBubbleSize val="0"/>
        </c:dLbls>
        <c:gapWidth val="150"/>
        <c:shape val="cylinder"/>
        <c:axId val="83795328"/>
        <c:axId val="69600384"/>
        <c:axId val="0"/>
      </c:bar3DChart>
      <c:catAx>
        <c:axId val="83795328"/>
        <c:scaling>
          <c:orientation val="minMax"/>
        </c:scaling>
        <c:delete val="0"/>
        <c:axPos val="b"/>
        <c:numFmt formatCode="General" sourceLinked="1"/>
        <c:majorTickMark val="out"/>
        <c:minorTickMark val="none"/>
        <c:tickLblPos val="nextTo"/>
        <c:crossAx val="69600384"/>
        <c:crosses val="autoZero"/>
        <c:auto val="1"/>
        <c:lblAlgn val="ctr"/>
        <c:lblOffset val="100"/>
        <c:noMultiLvlLbl val="0"/>
      </c:catAx>
      <c:valAx>
        <c:axId val="69600384"/>
        <c:scaling>
          <c:orientation val="minMax"/>
          <c:max val="1500"/>
          <c:min val="0"/>
        </c:scaling>
        <c:delete val="0"/>
        <c:axPos val="l"/>
        <c:majorGridlines/>
        <c:numFmt formatCode="General" sourceLinked="1"/>
        <c:majorTickMark val="out"/>
        <c:minorTickMark val="none"/>
        <c:tickLblPos val="nextTo"/>
        <c:crossAx val="83795328"/>
        <c:crosses val="autoZero"/>
        <c:crossBetween val="between"/>
      </c:valAx>
      <c:spPr>
        <a:noFill/>
        <a:ln w="25366">
          <a:noFill/>
        </a:ln>
      </c:spPr>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0"/>
      <c:perspective val="30"/>
    </c:view3D>
    <c:floor>
      <c:thickness val="0"/>
    </c:floor>
    <c:sideWall>
      <c:thickness val="0"/>
    </c:sideWall>
    <c:backWall>
      <c:thickness val="0"/>
    </c:backWall>
    <c:plotArea>
      <c:layout/>
      <c:bar3DChart>
        <c:barDir val="col"/>
        <c:grouping val="standard"/>
        <c:varyColors val="0"/>
        <c:ser>
          <c:idx val="0"/>
          <c:order val="0"/>
          <c:tx>
            <c:strRef>
              <c:f>Foaie1!$B$1</c:f>
              <c:strCache>
                <c:ptCount val="1"/>
                <c:pt idx="0">
                  <c:v>Coloană1</c:v>
                </c:pt>
              </c:strCache>
            </c:strRef>
          </c:tx>
          <c:invertIfNegative val="0"/>
          <c:dLbls>
            <c:showLegendKey val="0"/>
            <c:showVal val="1"/>
            <c:showCatName val="0"/>
            <c:showSerName val="0"/>
            <c:showPercent val="0"/>
            <c:showBubbleSize val="0"/>
            <c:showLeaderLines val="0"/>
          </c:dLbls>
          <c:cat>
            <c:numRef>
              <c:f>Foaie1!$A$2:$A$4</c:f>
              <c:numCache>
                <c:formatCode>General</c:formatCode>
                <c:ptCount val="3"/>
                <c:pt idx="0">
                  <c:v>2015</c:v>
                </c:pt>
                <c:pt idx="1">
                  <c:v>2016</c:v>
                </c:pt>
                <c:pt idx="2">
                  <c:v>2017</c:v>
                </c:pt>
              </c:numCache>
            </c:numRef>
          </c:cat>
          <c:val>
            <c:numRef>
              <c:f>Foaie1!$B$2:$B$4</c:f>
              <c:numCache>
                <c:formatCode>General</c:formatCode>
                <c:ptCount val="3"/>
                <c:pt idx="0">
                  <c:v>117.5</c:v>
                </c:pt>
                <c:pt idx="1">
                  <c:v>94.7</c:v>
                </c:pt>
                <c:pt idx="2">
                  <c:v>106.1</c:v>
                </c:pt>
              </c:numCache>
            </c:numRef>
          </c:val>
        </c:ser>
        <c:dLbls>
          <c:showLegendKey val="0"/>
          <c:showVal val="0"/>
          <c:showCatName val="0"/>
          <c:showSerName val="0"/>
          <c:showPercent val="0"/>
          <c:showBubbleSize val="0"/>
        </c:dLbls>
        <c:gapWidth val="150"/>
        <c:shape val="box"/>
        <c:axId val="69662208"/>
        <c:axId val="69663744"/>
        <c:axId val="83796864"/>
      </c:bar3DChart>
      <c:catAx>
        <c:axId val="69662208"/>
        <c:scaling>
          <c:orientation val="minMax"/>
        </c:scaling>
        <c:delete val="0"/>
        <c:axPos val="b"/>
        <c:numFmt formatCode="General" sourceLinked="1"/>
        <c:majorTickMark val="out"/>
        <c:minorTickMark val="none"/>
        <c:tickLblPos val="nextTo"/>
        <c:crossAx val="69663744"/>
        <c:crosses val="autoZero"/>
        <c:auto val="1"/>
        <c:lblAlgn val="ctr"/>
        <c:lblOffset val="100"/>
        <c:noMultiLvlLbl val="0"/>
      </c:catAx>
      <c:valAx>
        <c:axId val="69663744"/>
        <c:scaling>
          <c:orientation val="minMax"/>
        </c:scaling>
        <c:delete val="0"/>
        <c:axPos val="l"/>
        <c:majorGridlines/>
        <c:numFmt formatCode="General" sourceLinked="1"/>
        <c:majorTickMark val="out"/>
        <c:minorTickMark val="none"/>
        <c:tickLblPos val="nextTo"/>
        <c:crossAx val="69662208"/>
        <c:crosses val="autoZero"/>
        <c:crossBetween val="between"/>
      </c:valAx>
      <c:serAx>
        <c:axId val="83796864"/>
        <c:scaling>
          <c:orientation val="minMax"/>
        </c:scaling>
        <c:delete val="1"/>
        <c:axPos val="b"/>
        <c:majorTickMark val="out"/>
        <c:minorTickMark val="none"/>
        <c:tickLblPos val="nextTo"/>
        <c:crossAx val="69663744"/>
        <c:crosses val="autoZero"/>
      </c:serAx>
      <c:spPr>
        <a:noFill/>
        <a:ln w="25370">
          <a:noFill/>
        </a:ln>
      </c:spPr>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a:lstStyle/>
          <a:p>
            <a:pPr>
              <a:defRPr/>
            </a:pPr>
            <a:r>
              <a:rPr lang="ro-RO"/>
              <a:t>Civil</a:t>
            </a:r>
            <a:endParaRPr lang="en-US"/>
          </a:p>
        </c:rich>
      </c:tx>
      <c:layout>
        <c:manualLayout>
          <c:xMode val="edge"/>
          <c:yMode val="edge"/>
          <c:x val="0.41623890525134738"/>
          <c:y val="2.5431699086394689E-2"/>
        </c:manualLayout>
      </c:layout>
      <c:overlay val="0"/>
    </c:title>
    <c:autoTitleDeleted val="0"/>
    <c:view3D>
      <c:rotX val="15"/>
      <c:rotY val="20"/>
      <c:depthPercent val="100"/>
      <c:rAngAx val="0"/>
      <c:perspective val="30"/>
    </c:view3D>
    <c:floor>
      <c:thickness val="0"/>
    </c:floor>
    <c:sideWall>
      <c:thickness val="0"/>
    </c:sideWall>
    <c:backWall>
      <c:thickness val="0"/>
    </c:backWall>
    <c:plotArea>
      <c:layout>
        <c:manualLayout>
          <c:layoutTarget val="inner"/>
          <c:xMode val="edge"/>
          <c:yMode val="edge"/>
          <c:x val="0.15189130770418405"/>
          <c:y val="0.18890037735182091"/>
          <c:w val="0.79418712366836497"/>
          <c:h val="0.63129421953568932"/>
        </c:manualLayout>
      </c:layout>
      <c:bar3DChart>
        <c:barDir val="col"/>
        <c:grouping val="standard"/>
        <c:varyColors val="0"/>
        <c:ser>
          <c:idx val="0"/>
          <c:order val="0"/>
          <c:tx>
            <c:strRef>
              <c:f>Foaie1!$B$1</c:f>
              <c:strCache>
                <c:ptCount val="1"/>
                <c:pt idx="0">
                  <c:v>Coloană1</c:v>
                </c:pt>
              </c:strCache>
            </c:strRef>
          </c:tx>
          <c:invertIfNegative val="0"/>
          <c:dLbls>
            <c:showLegendKey val="0"/>
            <c:showVal val="1"/>
            <c:showCatName val="0"/>
            <c:showSerName val="0"/>
            <c:showPercent val="0"/>
            <c:showBubbleSize val="0"/>
            <c:showLeaderLines val="0"/>
          </c:dLbls>
          <c:cat>
            <c:numRef>
              <c:f>Foaie1!$A$2:$A$4</c:f>
              <c:numCache>
                <c:formatCode>General</c:formatCode>
                <c:ptCount val="3"/>
                <c:pt idx="0">
                  <c:v>2015</c:v>
                </c:pt>
                <c:pt idx="1">
                  <c:v>2016</c:v>
                </c:pt>
                <c:pt idx="2">
                  <c:v>2017</c:v>
                </c:pt>
              </c:numCache>
            </c:numRef>
          </c:cat>
          <c:val>
            <c:numRef>
              <c:f>Foaie1!$B$2:$B$4</c:f>
              <c:numCache>
                <c:formatCode>General</c:formatCode>
                <c:ptCount val="3"/>
                <c:pt idx="0">
                  <c:v>120.4</c:v>
                </c:pt>
                <c:pt idx="1">
                  <c:v>99</c:v>
                </c:pt>
                <c:pt idx="2">
                  <c:v>104</c:v>
                </c:pt>
              </c:numCache>
            </c:numRef>
          </c:val>
        </c:ser>
        <c:dLbls>
          <c:showLegendKey val="0"/>
          <c:showVal val="0"/>
          <c:showCatName val="0"/>
          <c:showSerName val="0"/>
          <c:showPercent val="0"/>
          <c:showBubbleSize val="0"/>
        </c:dLbls>
        <c:gapWidth val="150"/>
        <c:shape val="box"/>
        <c:axId val="69636480"/>
        <c:axId val="69638016"/>
        <c:axId val="69444480"/>
      </c:bar3DChart>
      <c:catAx>
        <c:axId val="69636480"/>
        <c:scaling>
          <c:orientation val="minMax"/>
        </c:scaling>
        <c:delete val="0"/>
        <c:axPos val="b"/>
        <c:numFmt formatCode="General" sourceLinked="1"/>
        <c:majorTickMark val="out"/>
        <c:minorTickMark val="none"/>
        <c:tickLblPos val="nextTo"/>
        <c:crossAx val="69638016"/>
        <c:crosses val="autoZero"/>
        <c:auto val="1"/>
        <c:lblAlgn val="ctr"/>
        <c:lblOffset val="100"/>
        <c:noMultiLvlLbl val="0"/>
      </c:catAx>
      <c:valAx>
        <c:axId val="69638016"/>
        <c:scaling>
          <c:orientation val="minMax"/>
        </c:scaling>
        <c:delete val="0"/>
        <c:axPos val="l"/>
        <c:majorGridlines/>
        <c:numFmt formatCode="General" sourceLinked="1"/>
        <c:majorTickMark val="out"/>
        <c:minorTickMark val="none"/>
        <c:tickLblPos val="nextTo"/>
        <c:crossAx val="69636480"/>
        <c:crosses val="autoZero"/>
        <c:crossBetween val="between"/>
      </c:valAx>
      <c:serAx>
        <c:axId val="69444480"/>
        <c:scaling>
          <c:orientation val="minMax"/>
        </c:scaling>
        <c:delete val="1"/>
        <c:axPos val="b"/>
        <c:majorTickMark val="out"/>
        <c:minorTickMark val="none"/>
        <c:tickLblPos val="nextTo"/>
        <c:crossAx val="69638016"/>
        <c:crosses val="autoZero"/>
      </c:serAx>
      <c:spPr>
        <a:noFill/>
        <a:ln w="25372">
          <a:noFill/>
        </a:ln>
      </c:spPr>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a:lstStyle/>
          <a:p>
            <a:pPr>
              <a:defRPr/>
            </a:pPr>
            <a:r>
              <a:rPr lang="ro-RO"/>
              <a:t>Penal</a:t>
            </a:r>
            <a:endParaRPr lang="en-US"/>
          </a:p>
        </c:rich>
      </c:tx>
      <c:layout>
        <c:manualLayout>
          <c:xMode val="edge"/>
          <c:yMode val="edge"/>
          <c:x val="0.41623890525134738"/>
          <c:y val="2.5431418974726061E-2"/>
        </c:manualLayout>
      </c:layout>
      <c:overlay val="0"/>
    </c:title>
    <c:autoTitleDeleted val="0"/>
    <c:view3D>
      <c:rotX val="15"/>
      <c:rotY val="20"/>
      <c:depthPercent val="100"/>
      <c:rAngAx val="0"/>
      <c:perspective val="30"/>
    </c:view3D>
    <c:floor>
      <c:thickness val="0"/>
    </c:floor>
    <c:sideWall>
      <c:thickness val="0"/>
    </c:sideWall>
    <c:backWall>
      <c:thickness val="0"/>
    </c:backWall>
    <c:plotArea>
      <c:layout>
        <c:manualLayout>
          <c:layoutTarget val="inner"/>
          <c:xMode val="edge"/>
          <c:yMode val="edge"/>
          <c:x val="0.14496293226504581"/>
          <c:y val="0.19894826976415181"/>
          <c:w val="0.80357507943086059"/>
          <c:h val="0.60695407754881703"/>
        </c:manualLayout>
      </c:layout>
      <c:bar3DChart>
        <c:barDir val="col"/>
        <c:grouping val="standard"/>
        <c:varyColors val="0"/>
        <c:ser>
          <c:idx val="0"/>
          <c:order val="0"/>
          <c:tx>
            <c:strRef>
              <c:f>Foaie1!$B$1</c:f>
              <c:strCache>
                <c:ptCount val="1"/>
                <c:pt idx="0">
                  <c:v>Coloană1</c:v>
                </c:pt>
              </c:strCache>
            </c:strRef>
          </c:tx>
          <c:invertIfNegative val="0"/>
          <c:dLbls>
            <c:showLegendKey val="0"/>
            <c:showVal val="1"/>
            <c:showCatName val="0"/>
            <c:showSerName val="0"/>
            <c:showPercent val="0"/>
            <c:showBubbleSize val="0"/>
            <c:showLeaderLines val="0"/>
          </c:dLbls>
          <c:cat>
            <c:numRef>
              <c:f>Foaie1!$A$2:$A$4</c:f>
              <c:numCache>
                <c:formatCode>General</c:formatCode>
                <c:ptCount val="3"/>
                <c:pt idx="0">
                  <c:v>2015</c:v>
                </c:pt>
                <c:pt idx="1">
                  <c:v>2016</c:v>
                </c:pt>
                <c:pt idx="2">
                  <c:v>2017</c:v>
                </c:pt>
              </c:numCache>
            </c:numRef>
          </c:cat>
          <c:val>
            <c:numRef>
              <c:f>Foaie1!$B$2:$B$4</c:f>
              <c:numCache>
                <c:formatCode>General</c:formatCode>
                <c:ptCount val="3"/>
                <c:pt idx="0">
                  <c:v>101.4</c:v>
                </c:pt>
                <c:pt idx="1">
                  <c:v>79.3</c:v>
                </c:pt>
                <c:pt idx="2">
                  <c:v>112.9</c:v>
                </c:pt>
              </c:numCache>
            </c:numRef>
          </c:val>
        </c:ser>
        <c:dLbls>
          <c:showLegendKey val="0"/>
          <c:showVal val="0"/>
          <c:showCatName val="0"/>
          <c:showSerName val="0"/>
          <c:showPercent val="0"/>
          <c:showBubbleSize val="0"/>
        </c:dLbls>
        <c:gapWidth val="150"/>
        <c:shape val="box"/>
        <c:axId val="103710080"/>
        <c:axId val="119796864"/>
        <c:axId val="83799552"/>
      </c:bar3DChart>
      <c:catAx>
        <c:axId val="103710080"/>
        <c:scaling>
          <c:orientation val="minMax"/>
        </c:scaling>
        <c:delete val="0"/>
        <c:axPos val="b"/>
        <c:numFmt formatCode="General" sourceLinked="1"/>
        <c:majorTickMark val="out"/>
        <c:minorTickMark val="none"/>
        <c:tickLblPos val="nextTo"/>
        <c:crossAx val="119796864"/>
        <c:crosses val="autoZero"/>
        <c:auto val="1"/>
        <c:lblAlgn val="ctr"/>
        <c:lblOffset val="100"/>
        <c:noMultiLvlLbl val="0"/>
      </c:catAx>
      <c:valAx>
        <c:axId val="119796864"/>
        <c:scaling>
          <c:orientation val="minMax"/>
        </c:scaling>
        <c:delete val="0"/>
        <c:axPos val="l"/>
        <c:majorGridlines/>
        <c:numFmt formatCode="General" sourceLinked="1"/>
        <c:majorTickMark val="out"/>
        <c:minorTickMark val="none"/>
        <c:tickLblPos val="nextTo"/>
        <c:crossAx val="103710080"/>
        <c:crosses val="autoZero"/>
        <c:crossBetween val="between"/>
      </c:valAx>
      <c:serAx>
        <c:axId val="83799552"/>
        <c:scaling>
          <c:orientation val="minMax"/>
        </c:scaling>
        <c:delete val="1"/>
        <c:axPos val="b"/>
        <c:majorTickMark val="out"/>
        <c:minorTickMark val="none"/>
        <c:tickLblPos val="nextTo"/>
        <c:crossAx val="119796864"/>
        <c:crosses val="autoZero"/>
      </c:serAx>
      <c:spPr>
        <a:noFill/>
        <a:ln w="25372">
          <a:noFill/>
        </a:ln>
      </c:spPr>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90"/>
      <c:rotY val="0"/>
      <c:rAngAx val="0"/>
      <c:perspective val="30"/>
    </c:view3D>
    <c:floor>
      <c:thickness val="0"/>
    </c:floor>
    <c:sideWall>
      <c:thickness val="0"/>
    </c:sideWall>
    <c:backWall>
      <c:thickness val="0"/>
    </c:backWall>
    <c:plotArea>
      <c:layout/>
      <c:pie3DChart>
        <c:varyColors val="1"/>
        <c:ser>
          <c:idx val="0"/>
          <c:order val="0"/>
          <c:tx>
            <c:strRef>
              <c:f>Foaie1!$B$1</c:f>
              <c:strCache>
                <c:ptCount val="1"/>
                <c:pt idx="0">
                  <c:v>Indicii de atacabilitate a hotărârilor judecătorești</c:v>
                </c:pt>
              </c:strCache>
            </c:strRef>
          </c:tx>
          <c:dPt>
            <c:idx val="1"/>
            <c:bubble3D val="0"/>
            <c:spPr>
              <a:solidFill>
                <a:srgbClr val="66FFFF"/>
              </a:solidFill>
            </c:spPr>
          </c:dPt>
          <c:dLbls>
            <c:dLbl>
              <c:idx val="0"/>
              <c:layout>
                <c:manualLayout>
                  <c:x val="4.6476924759405076E-2"/>
                  <c:y val="-2.636639170103737E-2"/>
                </c:manualLayout>
              </c:layout>
              <c:showLegendKey val="0"/>
              <c:showVal val="1"/>
              <c:showCatName val="0"/>
              <c:showSerName val="0"/>
              <c:showPercent val="0"/>
              <c:showBubbleSize val="0"/>
            </c:dLbl>
            <c:dLbl>
              <c:idx val="1"/>
              <c:layout>
                <c:manualLayout>
                  <c:x val="1.6509459755030622E-2"/>
                  <c:y val="1.7854018247719036E-3"/>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Foaie1!$A$2:$A$3</c:f>
              <c:strCache>
                <c:ptCount val="2"/>
                <c:pt idx="0">
                  <c:v>Nerecurate</c:v>
                </c:pt>
                <c:pt idx="1">
                  <c:v>Căi de atac promovate </c:v>
                </c:pt>
              </c:strCache>
            </c:strRef>
          </c:cat>
          <c:val>
            <c:numRef>
              <c:f>Foaie1!$B$2:$B$3</c:f>
              <c:numCache>
                <c:formatCode>0.00%</c:formatCode>
                <c:ptCount val="2"/>
                <c:pt idx="0">
                  <c:v>0.90369999999999995</c:v>
                </c:pt>
                <c:pt idx="1">
                  <c:v>9.6299999999999997E-2</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vi-VN"/>
              <a:t>Indicii de desfi</a:t>
            </a:r>
            <a:r>
              <a:rPr lang="ro-RO"/>
              <a:t>i</a:t>
            </a:r>
            <a:r>
              <a:rPr lang="vi-VN"/>
              <a:t>nțare a hotărârilor judecătorești</a:t>
            </a:r>
          </a:p>
        </c:rich>
      </c:tx>
      <c:overlay val="0"/>
    </c:title>
    <c:autoTitleDeleted val="0"/>
    <c:view3D>
      <c:rotX val="90"/>
      <c:rotY val="0"/>
      <c:rAngAx val="0"/>
      <c:perspective val="30"/>
    </c:view3D>
    <c:floor>
      <c:thickness val="0"/>
    </c:floor>
    <c:sideWall>
      <c:thickness val="0"/>
    </c:sideWall>
    <c:backWall>
      <c:thickness val="0"/>
    </c:backWall>
    <c:plotArea>
      <c:layout/>
      <c:pie3DChart>
        <c:varyColors val="1"/>
        <c:ser>
          <c:idx val="0"/>
          <c:order val="0"/>
          <c:tx>
            <c:strRef>
              <c:f>Foaie1!$B$1</c:f>
              <c:strCache>
                <c:ptCount val="1"/>
                <c:pt idx="0">
                  <c:v>Indicii de desfințare a hotărârilor judecătorești</c:v>
                </c:pt>
              </c:strCache>
            </c:strRef>
          </c:tx>
          <c:dPt>
            <c:idx val="1"/>
            <c:bubble3D val="0"/>
            <c:spPr>
              <a:ln>
                <a:solidFill>
                  <a:srgbClr val="66FFFF"/>
                </a:solidFill>
              </a:ln>
            </c:spPr>
          </c:dPt>
          <c:dLbls>
            <c:dLbl>
              <c:idx val="0"/>
              <c:layout>
                <c:manualLayout>
                  <c:x val="4.6476924759405076E-2"/>
                  <c:y val="-2.636639170103737E-2"/>
                </c:manualLayout>
              </c:layout>
              <c:showLegendKey val="0"/>
              <c:showVal val="1"/>
              <c:showCatName val="0"/>
              <c:showSerName val="0"/>
              <c:showPercent val="0"/>
              <c:showBubbleSize val="0"/>
            </c:dLbl>
            <c:dLbl>
              <c:idx val="1"/>
              <c:layout>
                <c:manualLayout>
                  <c:x val="1.6509459755030622E-2"/>
                  <c:y val="1.7854018247719036E-3"/>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Foaie1!$A$2:$A$3</c:f>
              <c:strCache>
                <c:ptCount val="2"/>
                <c:pt idx="0">
                  <c:v>Recurate</c:v>
                </c:pt>
                <c:pt idx="1">
                  <c:v>Desființate/Modificate</c:v>
                </c:pt>
              </c:strCache>
            </c:strRef>
          </c:cat>
          <c:val>
            <c:numRef>
              <c:f>Foaie1!$B$2:$B$3</c:f>
              <c:numCache>
                <c:formatCode>0.00%</c:formatCode>
                <c:ptCount val="2"/>
                <c:pt idx="0">
                  <c:v>0.81940000000000002</c:v>
                </c:pt>
                <c:pt idx="1">
                  <c:v>0.18060000000000001</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2CD5FA4-7125-421D-A910-DBC55FE7A858}"/>
</file>

<file path=customXml/itemProps2.xml><?xml version="1.0" encoding="utf-8"?>
<ds:datastoreItem xmlns:ds="http://schemas.openxmlformats.org/officeDocument/2006/customXml" ds:itemID="{5B784EA5-E4C7-48CC-8514-8DED0A3E7FDC}"/>
</file>

<file path=customXml/itemProps3.xml><?xml version="1.0" encoding="utf-8"?>
<ds:datastoreItem xmlns:ds="http://schemas.openxmlformats.org/officeDocument/2006/customXml" ds:itemID="{EFE958BD-ACDC-4B8D-B56E-C69AEDAF212A}"/>
</file>

<file path=customXml/itemProps4.xml><?xml version="1.0" encoding="utf-8"?>
<ds:datastoreItem xmlns:ds="http://schemas.openxmlformats.org/officeDocument/2006/customXml" ds:itemID="{4D6EC82F-59EC-4526-8BB4-86B831102C8A}"/>
</file>

<file path=customXml/itemProps5.xml><?xml version="1.0" encoding="utf-8"?>
<ds:datastoreItem xmlns:ds="http://schemas.openxmlformats.org/officeDocument/2006/customXml" ds:itemID="{6DF7B2D4-7BB4-4461-82B5-A168D0616605}"/>
</file>

<file path=docProps/app.xml><?xml version="1.0" encoding="utf-8"?>
<Properties xmlns="http://schemas.openxmlformats.org/officeDocument/2006/extended-properties" xmlns:vt="http://schemas.openxmlformats.org/officeDocument/2006/docPropsVTypes">
  <Template>Normal</Template>
  <TotalTime>24</TotalTime>
  <Pages>1</Pages>
  <Words>4393</Words>
  <Characters>25485</Characters>
  <Application>Microsoft Office Word</Application>
  <DocSecurity>0</DocSecurity>
  <Lines>212</Lines>
  <Paragraphs>59</Paragraphs>
  <ScaleCrop>false</ScaleCrop>
  <HeadingPairs>
    <vt:vector size="2" baseType="variant">
      <vt:variant>
        <vt:lpstr>Titlu</vt:lpstr>
      </vt:variant>
      <vt:variant>
        <vt:i4>1</vt:i4>
      </vt:variant>
    </vt:vector>
  </HeadingPairs>
  <TitlesOfParts>
    <vt:vector size="1" baseType="lpstr">
      <vt:lpstr>I</vt:lpstr>
    </vt:vector>
  </TitlesOfParts>
  <Company>Vinju Mare</Company>
  <LinksUpToDate>false</LinksUpToDate>
  <CharactersWithSpaces>29819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de bilant al civitatii desfasurate la Judecatoria Vinju Mare in anul 2017</dc:title>
  <dc:creator>Administrator</dc:creator>
  <cp:lastModifiedBy>Georgeta Bratu</cp:lastModifiedBy>
  <cp:revision>14</cp:revision>
  <cp:lastPrinted>2018-01-20T11:39:00Z</cp:lastPrinted>
  <dcterms:created xsi:type="dcterms:W3CDTF">2018-01-17T09:05:00Z</dcterms:created>
  <dcterms:modified xsi:type="dcterms:W3CDTF">2018-01-20T11:40:00Z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