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2"/>
        <w:gridCol w:w="7060"/>
      </w:tblGrid>
      <w:tr w:rsidR="00A7137C" w:rsidRPr="00F86C2C" w:rsidTr="00C873F8">
        <w:trPr>
          <w:trHeight w:val="1411"/>
        </w:trPr>
        <w:tc>
          <w:tcPr>
            <w:tcW w:w="2722" w:type="dxa"/>
            <w:tcBorders>
              <w:top w:val="nil"/>
              <w:left w:val="nil"/>
              <w:bottom w:val="nil"/>
              <w:right w:val="nil"/>
            </w:tcBorders>
          </w:tcPr>
          <w:p w:rsidR="00A7137C" w:rsidRPr="00F86C2C" w:rsidRDefault="00A7137C" w:rsidP="00C873F8">
            <w:pPr>
              <w:jc w:val="center"/>
              <w:rPr>
                <w:b/>
                <w:sz w:val="28"/>
                <w:szCs w:val="28"/>
              </w:rPr>
            </w:pPr>
            <w:r w:rsidRPr="00F86C2C">
              <w:rPr>
                <w:b/>
                <w:sz w:val="28"/>
                <w:szCs w:val="28"/>
              </w:rPr>
              <w:t>ROMÂNIA</w:t>
            </w:r>
          </w:p>
          <w:p w:rsidR="00A7137C" w:rsidRPr="00F86C2C" w:rsidRDefault="00A7137C" w:rsidP="00C873F8">
            <w:pPr>
              <w:pStyle w:val="Legend"/>
              <w:ind w:left="80"/>
              <w:jc w:val="center"/>
              <w:rPr>
                <w:b w:val="0"/>
              </w:rPr>
            </w:pPr>
            <w:r w:rsidRPr="00F86C2C">
              <w:rPr>
                <w:b w:val="0"/>
                <w:noProof/>
                <w:lang w:eastAsia="ro-RO"/>
              </w:rPr>
              <w:drawing>
                <wp:inline distT="0" distB="0" distL="0" distR="0">
                  <wp:extent cx="676275" cy="752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752475"/>
                          </a:xfrm>
                          <a:prstGeom prst="rect">
                            <a:avLst/>
                          </a:prstGeom>
                          <a:noFill/>
                          <a:ln>
                            <a:noFill/>
                          </a:ln>
                        </pic:spPr>
                      </pic:pic>
                    </a:graphicData>
                  </a:graphic>
                </wp:inline>
              </w:drawing>
            </w:r>
          </w:p>
        </w:tc>
        <w:tc>
          <w:tcPr>
            <w:tcW w:w="7060" w:type="dxa"/>
            <w:tcBorders>
              <w:top w:val="nil"/>
              <w:left w:val="nil"/>
              <w:bottom w:val="nil"/>
              <w:right w:val="nil"/>
            </w:tcBorders>
          </w:tcPr>
          <w:p w:rsidR="00A7137C" w:rsidRPr="00F86C2C" w:rsidRDefault="00A7137C" w:rsidP="00C873F8">
            <w:pPr>
              <w:pStyle w:val="Titlu1"/>
              <w:jc w:val="center"/>
              <w:rPr>
                <w:b/>
                <w:sz w:val="32"/>
                <w:szCs w:val="32"/>
              </w:rPr>
            </w:pPr>
            <w:r w:rsidRPr="00F86C2C">
              <w:rPr>
                <w:b/>
                <w:sz w:val="32"/>
                <w:szCs w:val="32"/>
              </w:rPr>
              <w:t>JUDECĂTORIA CURTEA DE ARGEŞ</w:t>
            </w:r>
          </w:p>
          <w:p w:rsidR="00A7137C" w:rsidRPr="00F86C2C" w:rsidRDefault="00A7137C" w:rsidP="00C873F8">
            <w:pPr>
              <w:pStyle w:val="Corptext"/>
              <w:jc w:val="center"/>
              <w:rPr>
                <w:b/>
                <w:bCs/>
                <w:sz w:val="24"/>
                <w:szCs w:val="24"/>
              </w:rPr>
            </w:pPr>
            <w:r w:rsidRPr="00F86C2C">
              <w:rPr>
                <w:b/>
                <w:bCs/>
                <w:sz w:val="24"/>
                <w:szCs w:val="24"/>
              </w:rPr>
              <w:t xml:space="preserve">Operator de date cu caracter personal: 5012 </w:t>
            </w:r>
          </w:p>
          <w:p w:rsidR="00A7137C" w:rsidRPr="00F86C2C" w:rsidRDefault="00A7137C" w:rsidP="00C873F8">
            <w:pPr>
              <w:pStyle w:val="Corptext"/>
              <w:jc w:val="center"/>
              <w:rPr>
                <w:b/>
                <w:bCs/>
                <w:sz w:val="24"/>
                <w:szCs w:val="24"/>
              </w:rPr>
            </w:pPr>
            <w:r w:rsidRPr="00F86C2C">
              <w:rPr>
                <w:b/>
                <w:bCs/>
                <w:sz w:val="24"/>
                <w:szCs w:val="24"/>
              </w:rPr>
              <w:t>Curtea de Argeş, str. Negru Vodă nr. 83, Judeţul  Argeş</w:t>
            </w:r>
          </w:p>
          <w:p w:rsidR="00A7137C" w:rsidRPr="00F86C2C" w:rsidRDefault="00A7137C" w:rsidP="00C873F8">
            <w:pPr>
              <w:pStyle w:val="Corptext"/>
              <w:jc w:val="center"/>
              <w:rPr>
                <w:b/>
                <w:bCs/>
                <w:sz w:val="24"/>
                <w:szCs w:val="24"/>
              </w:rPr>
            </w:pPr>
            <w:r w:rsidRPr="00F86C2C">
              <w:rPr>
                <w:b/>
                <w:bCs/>
                <w:sz w:val="24"/>
                <w:szCs w:val="24"/>
              </w:rPr>
              <w:t>Telefon: 0248-722370; fax: 0248-726772</w:t>
            </w:r>
          </w:p>
          <w:p w:rsidR="00A7137C" w:rsidRPr="00F86C2C" w:rsidRDefault="00A7137C" w:rsidP="00C873F8">
            <w:pPr>
              <w:pStyle w:val="Corptext"/>
              <w:jc w:val="center"/>
              <w:rPr>
                <w:b/>
                <w:bCs/>
                <w:sz w:val="24"/>
                <w:szCs w:val="24"/>
              </w:rPr>
            </w:pPr>
            <w:proofErr w:type="spellStart"/>
            <w:r w:rsidRPr="00F86C2C">
              <w:rPr>
                <w:b/>
                <w:bCs/>
                <w:sz w:val="24"/>
                <w:szCs w:val="24"/>
              </w:rPr>
              <w:t>www-ag.ro</w:t>
            </w:r>
            <w:proofErr w:type="spellEnd"/>
            <w:r w:rsidRPr="00F86C2C">
              <w:rPr>
                <w:b/>
                <w:bCs/>
                <w:sz w:val="24"/>
                <w:szCs w:val="24"/>
              </w:rPr>
              <w:t>/</w:t>
            </w:r>
            <w:proofErr w:type="spellStart"/>
            <w:r w:rsidRPr="00F86C2C">
              <w:rPr>
                <w:b/>
                <w:bCs/>
                <w:sz w:val="24"/>
                <w:szCs w:val="24"/>
              </w:rPr>
              <w:t>judecatoria</w:t>
            </w:r>
            <w:proofErr w:type="spellEnd"/>
          </w:p>
          <w:p w:rsidR="00A7137C" w:rsidRPr="00F86C2C" w:rsidRDefault="00A7137C" w:rsidP="00C873F8">
            <w:pPr>
              <w:pStyle w:val="Legend"/>
              <w:ind w:left="0"/>
              <w:jc w:val="center"/>
            </w:pPr>
            <w:r w:rsidRPr="00F86C2C">
              <w:rPr>
                <w:bCs/>
                <w:sz w:val="24"/>
                <w:szCs w:val="24"/>
              </w:rPr>
              <w:t>jud-curteadearges@just.ro</w:t>
            </w:r>
          </w:p>
        </w:tc>
      </w:tr>
    </w:tbl>
    <w:p w:rsidR="00A7137C" w:rsidRPr="00F86C2C" w:rsidRDefault="00A7137C" w:rsidP="00A7137C">
      <w:pPr>
        <w:rPr>
          <w:sz w:val="28"/>
          <w:szCs w:val="28"/>
        </w:rPr>
      </w:pPr>
      <w:r w:rsidRPr="00F86C2C">
        <w:rPr>
          <w:noProof/>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33020</wp:posOffset>
                </wp:positionV>
                <wp:extent cx="6172200" cy="0"/>
                <wp:effectExtent l="35560" t="34290" r="31115" b="323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00F912"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6pt" to="46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" strokeweight="4.5pt">
                <v:stroke linestyle="thickThin"/>
              </v:line>
            </w:pict>
          </mc:Fallback>
        </mc:AlternateContent>
      </w:r>
    </w:p>
    <w:p w:rsidR="00A7137C" w:rsidRPr="00F86C2C" w:rsidRDefault="00A7137C" w:rsidP="00A7137C">
      <w:pPr>
        <w:jc w:val="center"/>
        <w:rPr>
          <w:b/>
          <w:sz w:val="28"/>
          <w:szCs w:val="28"/>
        </w:rPr>
      </w:pPr>
    </w:p>
    <w:p w:rsidR="00A7137C" w:rsidRPr="00F86C2C" w:rsidRDefault="00A7137C" w:rsidP="00A7137C">
      <w:pPr>
        <w:jc w:val="center"/>
        <w:rPr>
          <w:b/>
          <w:sz w:val="28"/>
          <w:szCs w:val="28"/>
        </w:rPr>
      </w:pPr>
    </w:p>
    <w:p w:rsidR="00A7137C" w:rsidRPr="00F86C2C" w:rsidRDefault="00A7137C" w:rsidP="00A7137C">
      <w:pPr>
        <w:jc w:val="center"/>
        <w:rPr>
          <w:b/>
          <w:sz w:val="28"/>
          <w:szCs w:val="28"/>
        </w:rPr>
      </w:pPr>
    </w:p>
    <w:p w:rsidR="00A7137C" w:rsidRPr="00F86C2C" w:rsidRDefault="00A7137C" w:rsidP="00A7137C">
      <w:pPr>
        <w:jc w:val="center"/>
        <w:rPr>
          <w:b/>
          <w:sz w:val="28"/>
          <w:szCs w:val="28"/>
        </w:rPr>
      </w:pPr>
    </w:p>
    <w:p w:rsidR="00A7137C" w:rsidRPr="00F86C2C" w:rsidRDefault="00A7137C" w:rsidP="00A7137C">
      <w:pPr>
        <w:jc w:val="center"/>
        <w:rPr>
          <w:b/>
          <w:sz w:val="36"/>
          <w:szCs w:val="36"/>
        </w:rPr>
      </w:pPr>
      <w:r w:rsidRPr="00F86C2C">
        <w:rPr>
          <w:b/>
          <w:sz w:val="36"/>
          <w:szCs w:val="36"/>
        </w:rPr>
        <w:t xml:space="preserve">RAPORTUL ANUAL DE ACTIVITATE  </w:t>
      </w:r>
    </w:p>
    <w:p w:rsidR="00A7137C" w:rsidRPr="00F86C2C" w:rsidRDefault="00A7137C" w:rsidP="00A7137C">
      <w:pPr>
        <w:jc w:val="center"/>
        <w:rPr>
          <w:b/>
          <w:sz w:val="36"/>
          <w:szCs w:val="36"/>
        </w:rPr>
      </w:pPr>
    </w:p>
    <w:p w:rsidR="00A7137C" w:rsidRPr="00F86C2C" w:rsidRDefault="00A7137C" w:rsidP="00A7137C">
      <w:pPr>
        <w:jc w:val="center"/>
        <w:rPr>
          <w:b/>
          <w:sz w:val="60"/>
          <w:szCs w:val="60"/>
        </w:rPr>
      </w:pPr>
      <w:r w:rsidRPr="00F86C2C">
        <w:rPr>
          <w:b/>
          <w:sz w:val="60"/>
          <w:szCs w:val="60"/>
        </w:rPr>
        <w:t>20</w:t>
      </w:r>
      <w:r>
        <w:rPr>
          <w:b/>
          <w:sz w:val="60"/>
          <w:szCs w:val="60"/>
        </w:rPr>
        <w:t>20</w:t>
      </w:r>
    </w:p>
    <w:p w:rsidR="00A7137C" w:rsidRPr="00F86C2C" w:rsidRDefault="00A7137C" w:rsidP="00A7137C">
      <w:pPr>
        <w:jc w:val="center"/>
        <w:rPr>
          <w:b/>
          <w:sz w:val="36"/>
          <w:szCs w:val="36"/>
        </w:rPr>
      </w:pPr>
    </w:p>
    <w:p w:rsidR="00A7137C" w:rsidRPr="00F86C2C" w:rsidRDefault="00A7137C" w:rsidP="00A7137C">
      <w:pPr>
        <w:rPr>
          <w:sz w:val="28"/>
          <w:szCs w:val="28"/>
        </w:rPr>
      </w:pPr>
    </w:p>
    <w:p w:rsidR="00A7137C" w:rsidRPr="00F86C2C" w:rsidRDefault="00A7137C" w:rsidP="00A7137C">
      <w:pPr>
        <w:rPr>
          <w:sz w:val="28"/>
          <w:szCs w:val="28"/>
        </w:rPr>
      </w:pPr>
    </w:p>
    <w:p w:rsidR="00A7137C" w:rsidRPr="00F86C2C" w:rsidRDefault="00A7137C" w:rsidP="00A7137C">
      <w:pPr>
        <w:rPr>
          <w:sz w:val="28"/>
          <w:szCs w:val="28"/>
        </w:rPr>
      </w:pPr>
    </w:p>
    <w:p w:rsidR="00A7137C" w:rsidRPr="00F86C2C" w:rsidRDefault="00A7137C" w:rsidP="00A7137C">
      <w:pPr>
        <w:rPr>
          <w:sz w:val="28"/>
          <w:szCs w:val="28"/>
        </w:rPr>
      </w:pPr>
    </w:p>
    <w:p w:rsidR="00A7137C" w:rsidRPr="00F86C2C" w:rsidRDefault="00A7137C" w:rsidP="00A7137C">
      <w:pPr>
        <w:jc w:val="center"/>
        <w:rPr>
          <w:sz w:val="28"/>
          <w:szCs w:val="28"/>
        </w:rPr>
      </w:pPr>
      <w:r w:rsidRPr="00F86C2C">
        <w:rPr>
          <w:noProof/>
          <w:sz w:val="28"/>
          <w:szCs w:val="28"/>
        </w:rPr>
        <w:drawing>
          <wp:inline distT="0" distB="0" distL="0" distR="0">
            <wp:extent cx="5381625" cy="4038600"/>
            <wp:effectExtent l="0" t="0" r="9525" b="0"/>
            <wp:docPr id="1" name="Picture 1" descr="IMG_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488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81625" cy="4038600"/>
                    </a:xfrm>
                    <a:prstGeom prst="rect">
                      <a:avLst/>
                    </a:prstGeom>
                    <a:noFill/>
                    <a:ln>
                      <a:noFill/>
                    </a:ln>
                  </pic:spPr>
                </pic:pic>
              </a:graphicData>
            </a:graphic>
          </wp:inline>
        </w:drawing>
      </w:r>
    </w:p>
    <w:p w:rsidR="00A7137C" w:rsidRPr="00F86C2C" w:rsidRDefault="00A7137C" w:rsidP="00A7137C">
      <w:pPr>
        <w:jc w:val="both"/>
        <w:rPr>
          <w:sz w:val="28"/>
          <w:szCs w:val="28"/>
        </w:rPr>
      </w:pPr>
    </w:p>
    <w:p w:rsidR="00A7137C" w:rsidRPr="00F86C2C" w:rsidRDefault="00A7137C" w:rsidP="00A7137C">
      <w:pPr>
        <w:jc w:val="both"/>
        <w:rPr>
          <w:sz w:val="28"/>
          <w:szCs w:val="28"/>
        </w:rPr>
      </w:pPr>
    </w:p>
    <w:p w:rsidR="00A7137C" w:rsidRPr="00F86C2C" w:rsidRDefault="00A7137C" w:rsidP="00A7137C">
      <w:r w:rsidRPr="00F86C2C">
        <w:t xml:space="preserve">                                                                                                                                                                                                                                                                                                                                                                                                                                      </w:t>
      </w:r>
    </w:p>
    <w:p w:rsidR="00A7137C" w:rsidRPr="00F86C2C" w:rsidRDefault="00A7137C" w:rsidP="00A7137C"/>
    <w:p w:rsidR="00A7137C" w:rsidRPr="00F86C2C" w:rsidRDefault="00A7137C" w:rsidP="00A7137C"/>
    <w:p w:rsidR="00A7137C" w:rsidRPr="00F86C2C" w:rsidRDefault="00A7137C" w:rsidP="00A7137C">
      <w:pPr>
        <w:jc w:val="center"/>
        <w:rPr>
          <w:b/>
          <w:sz w:val="28"/>
          <w:szCs w:val="28"/>
        </w:rPr>
      </w:pPr>
    </w:p>
    <w:p w:rsidR="00A7137C" w:rsidRPr="00F86C2C" w:rsidRDefault="00A7137C" w:rsidP="00A7137C">
      <w:pPr>
        <w:jc w:val="center"/>
        <w:rPr>
          <w:b/>
          <w:sz w:val="28"/>
          <w:szCs w:val="28"/>
        </w:rPr>
      </w:pPr>
      <w:r w:rsidRPr="00F86C2C">
        <w:rPr>
          <w:b/>
          <w:sz w:val="28"/>
          <w:szCs w:val="28"/>
        </w:rPr>
        <w:t>CUPRINS</w:t>
      </w:r>
    </w:p>
    <w:p w:rsidR="00A7137C" w:rsidRPr="00F86C2C" w:rsidRDefault="00A7137C" w:rsidP="00A7137C">
      <w:pPr>
        <w:jc w:val="center"/>
        <w:rPr>
          <w:b/>
          <w:sz w:val="28"/>
          <w:szCs w:val="28"/>
        </w:rPr>
      </w:pPr>
    </w:p>
    <w:p w:rsidR="00A7137C" w:rsidRPr="00F86C2C" w:rsidRDefault="00A7137C" w:rsidP="00A7137C">
      <w:pPr>
        <w:rPr>
          <w:sz w:val="28"/>
          <w:szCs w:val="28"/>
        </w:rPr>
      </w:pPr>
    </w:p>
    <w:p w:rsidR="00A7137C" w:rsidRPr="00F86C2C" w:rsidRDefault="00A7137C" w:rsidP="00A7137C">
      <w:pPr>
        <w:rPr>
          <w:sz w:val="28"/>
          <w:szCs w:val="28"/>
        </w:rPr>
      </w:pPr>
    </w:p>
    <w:p w:rsidR="00A7137C" w:rsidRPr="00F86C2C" w:rsidRDefault="00A7137C" w:rsidP="00A7137C">
      <w:pPr>
        <w:numPr>
          <w:ilvl w:val="0"/>
          <w:numId w:val="36"/>
        </w:numPr>
        <w:jc w:val="both"/>
        <w:rPr>
          <w:b/>
          <w:sz w:val="28"/>
          <w:szCs w:val="28"/>
        </w:rPr>
      </w:pPr>
      <w:r w:rsidRPr="00F86C2C">
        <w:rPr>
          <w:b/>
          <w:sz w:val="28"/>
          <w:szCs w:val="28"/>
        </w:rPr>
        <w:t xml:space="preserve">DATE STATISTICE PRIVIND ACTIVITATEA INSTANŢEI </w:t>
      </w:r>
    </w:p>
    <w:p w:rsidR="00A7137C" w:rsidRPr="00F86C2C" w:rsidRDefault="00A7137C" w:rsidP="00A7137C">
      <w:pPr>
        <w:ind w:left="780"/>
        <w:jc w:val="both"/>
        <w:rPr>
          <w:b/>
          <w:sz w:val="28"/>
          <w:szCs w:val="28"/>
        </w:rPr>
      </w:pPr>
    </w:p>
    <w:p w:rsidR="00A7137C" w:rsidRPr="00F86C2C" w:rsidRDefault="00A7137C" w:rsidP="00A7137C">
      <w:pPr>
        <w:ind w:left="708"/>
        <w:jc w:val="both"/>
        <w:rPr>
          <w:sz w:val="28"/>
          <w:szCs w:val="28"/>
        </w:rPr>
      </w:pPr>
      <w:r w:rsidRPr="00F86C2C">
        <w:rPr>
          <w:sz w:val="28"/>
          <w:szCs w:val="28"/>
        </w:rPr>
        <w:t xml:space="preserve">I.1. Volumul de activitate </w:t>
      </w:r>
    </w:p>
    <w:p w:rsidR="00A7137C" w:rsidRPr="00F86C2C" w:rsidRDefault="00A7137C" w:rsidP="00A7137C">
      <w:pPr>
        <w:ind w:left="708"/>
        <w:jc w:val="both"/>
        <w:rPr>
          <w:sz w:val="28"/>
          <w:szCs w:val="28"/>
        </w:rPr>
      </w:pPr>
      <w:r w:rsidRPr="00F86C2C">
        <w:rPr>
          <w:sz w:val="28"/>
          <w:szCs w:val="28"/>
        </w:rPr>
        <w:t>I.2. Încăr</w:t>
      </w:r>
      <w:r>
        <w:rPr>
          <w:sz w:val="28"/>
          <w:szCs w:val="28"/>
        </w:rPr>
        <w:t>cătura pe judecător şi pe scheme</w:t>
      </w:r>
      <w:r w:rsidRPr="00F86C2C">
        <w:rPr>
          <w:sz w:val="28"/>
          <w:szCs w:val="28"/>
        </w:rPr>
        <w:t xml:space="preserve"> </w:t>
      </w:r>
    </w:p>
    <w:p w:rsidR="00A7137C" w:rsidRPr="00F86C2C" w:rsidRDefault="00A7137C" w:rsidP="00A7137C">
      <w:pPr>
        <w:ind w:left="708"/>
        <w:jc w:val="both"/>
        <w:rPr>
          <w:sz w:val="28"/>
          <w:szCs w:val="28"/>
        </w:rPr>
      </w:pPr>
      <w:r w:rsidRPr="00F86C2C">
        <w:rPr>
          <w:sz w:val="28"/>
          <w:szCs w:val="28"/>
        </w:rPr>
        <w:t>I.3. Indicatori de eficienţă</w:t>
      </w:r>
    </w:p>
    <w:p w:rsidR="00A7137C" w:rsidRPr="00F86C2C" w:rsidRDefault="00A7137C" w:rsidP="00A7137C">
      <w:pPr>
        <w:ind w:left="708"/>
        <w:jc w:val="both"/>
        <w:rPr>
          <w:sz w:val="28"/>
          <w:szCs w:val="28"/>
        </w:rPr>
      </w:pPr>
      <w:r w:rsidRPr="00F86C2C">
        <w:rPr>
          <w:sz w:val="28"/>
          <w:szCs w:val="28"/>
        </w:rPr>
        <w:t xml:space="preserve">I.4. Indicii de atacabilitate a hotărârilor judecătoreşti </w:t>
      </w:r>
    </w:p>
    <w:p w:rsidR="00A7137C" w:rsidRPr="00F86C2C" w:rsidRDefault="00A7137C" w:rsidP="00A7137C">
      <w:pPr>
        <w:ind w:left="708"/>
        <w:jc w:val="both"/>
        <w:rPr>
          <w:sz w:val="28"/>
          <w:szCs w:val="28"/>
        </w:rPr>
      </w:pPr>
      <w:r w:rsidRPr="00F86C2C">
        <w:rPr>
          <w:sz w:val="28"/>
          <w:szCs w:val="28"/>
        </w:rPr>
        <w:t>I.5. Indicii de desfiinţare a hotărârilor judecătoreşti</w:t>
      </w:r>
    </w:p>
    <w:p w:rsidR="00A7137C" w:rsidRDefault="00A7137C" w:rsidP="00A7137C">
      <w:pPr>
        <w:jc w:val="both"/>
        <w:rPr>
          <w:sz w:val="28"/>
          <w:szCs w:val="28"/>
        </w:rPr>
      </w:pPr>
    </w:p>
    <w:p w:rsidR="004B2930" w:rsidRPr="00F86C2C" w:rsidRDefault="004B2930" w:rsidP="00A7137C">
      <w:pPr>
        <w:jc w:val="both"/>
        <w:rPr>
          <w:sz w:val="28"/>
          <w:szCs w:val="28"/>
        </w:rPr>
      </w:pPr>
    </w:p>
    <w:p w:rsidR="00A7137C" w:rsidRPr="00F86C2C" w:rsidRDefault="00A7137C" w:rsidP="00A7137C">
      <w:pPr>
        <w:numPr>
          <w:ilvl w:val="0"/>
          <w:numId w:val="36"/>
        </w:numPr>
        <w:jc w:val="both"/>
        <w:rPr>
          <w:b/>
          <w:sz w:val="28"/>
          <w:szCs w:val="28"/>
        </w:rPr>
      </w:pPr>
      <w:r w:rsidRPr="00F86C2C">
        <w:rPr>
          <w:b/>
          <w:sz w:val="28"/>
          <w:szCs w:val="28"/>
        </w:rPr>
        <w:t>DATE STATISTICE REFERITOARE LA RESURSELE UMANE LA NIVELUL INSTANŢEI</w:t>
      </w:r>
    </w:p>
    <w:p w:rsidR="00A7137C" w:rsidRPr="00F86C2C" w:rsidRDefault="00A7137C" w:rsidP="00A7137C">
      <w:pPr>
        <w:ind w:firstLine="708"/>
        <w:jc w:val="both"/>
        <w:rPr>
          <w:sz w:val="28"/>
          <w:szCs w:val="28"/>
        </w:rPr>
      </w:pPr>
    </w:p>
    <w:p w:rsidR="00A7137C" w:rsidRPr="00F86C2C" w:rsidRDefault="00A7137C" w:rsidP="00A7137C">
      <w:pPr>
        <w:ind w:firstLine="708"/>
        <w:jc w:val="both"/>
        <w:rPr>
          <w:sz w:val="28"/>
          <w:szCs w:val="28"/>
        </w:rPr>
      </w:pPr>
      <w:r w:rsidRPr="00F86C2C">
        <w:rPr>
          <w:sz w:val="28"/>
          <w:szCs w:val="28"/>
        </w:rPr>
        <w:t xml:space="preserve">II.1. Situaţia posturilor (de judecător, de personal auxiliar) </w:t>
      </w:r>
    </w:p>
    <w:p w:rsidR="00A7137C" w:rsidRPr="00F86C2C" w:rsidRDefault="00A7137C" w:rsidP="00A7137C">
      <w:pPr>
        <w:ind w:firstLine="708"/>
        <w:jc w:val="both"/>
        <w:rPr>
          <w:sz w:val="28"/>
          <w:szCs w:val="28"/>
        </w:rPr>
      </w:pPr>
      <w:r w:rsidRPr="00F86C2C">
        <w:rPr>
          <w:sz w:val="28"/>
          <w:szCs w:val="28"/>
        </w:rPr>
        <w:t>II.2. Situaţia sancţiunilor disciplinare şi penale aplicate în cursul anului 20</w:t>
      </w:r>
      <w:r>
        <w:rPr>
          <w:sz w:val="28"/>
          <w:szCs w:val="28"/>
        </w:rPr>
        <w:t>20</w:t>
      </w:r>
      <w:r w:rsidRPr="00F86C2C">
        <w:rPr>
          <w:sz w:val="28"/>
          <w:szCs w:val="28"/>
        </w:rPr>
        <w:t xml:space="preserve"> pe fiecare categorie de personal. </w:t>
      </w:r>
    </w:p>
    <w:p w:rsidR="00A7137C" w:rsidRPr="00F86C2C" w:rsidRDefault="00A7137C" w:rsidP="00A7137C">
      <w:pPr>
        <w:ind w:firstLine="708"/>
        <w:jc w:val="both"/>
        <w:rPr>
          <w:sz w:val="28"/>
          <w:szCs w:val="28"/>
        </w:rPr>
      </w:pPr>
    </w:p>
    <w:p w:rsidR="00A7137C" w:rsidRDefault="00A7137C" w:rsidP="00A7137C">
      <w:pPr>
        <w:ind w:firstLine="720"/>
        <w:jc w:val="both"/>
        <w:rPr>
          <w:b/>
          <w:sz w:val="28"/>
          <w:szCs w:val="28"/>
        </w:rPr>
      </w:pPr>
    </w:p>
    <w:p w:rsidR="00A7137C" w:rsidRPr="00D50342" w:rsidRDefault="00A7137C" w:rsidP="00A7137C">
      <w:pPr>
        <w:numPr>
          <w:ilvl w:val="0"/>
          <w:numId w:val="36"/>
        </w:numPr>
        <w:jc w:val="both"/>
        <w:rPr>
          <w:b/>
          <w:sz w:val="28"/>
          <w:szCs w:val="28"/>
        </w:rPr>
      </w:pPr>
      <w:r w:rsidRPr="00D50342">
        <w:rPr>
          <w:b/>
          <w:sz w:val="28"/>
          <w:szCs w:val="28"/>
        </w:rPr>
        <w:t>MĂSURIL</w:t>
      </w:r>
      <w:r w:rsidR="00D50342" w:rsidRPr="00D50342">
        <w:rPr>
          <w:b/>
          <w:sz w:val="28"/>
          <w:szCs w:val="28"/>
        </w:rPr>
        <w:t xml:space="preserve">E </w:t>
      </w:r>
      <w:r w:rsidRPr="00D50342">
        <w:rPr>
          <w:b/>
          <w:sz w:val="28"/>
          <w:szCs w:val="28"/>
        </w:rPr>
        <w:t>ADMINISTRATIVE DISPUSE ÎN PERIOADA STĂRII DE URGENŢĂ</w:t>
      </w:r>
      <w:r w:rsidR="00D77D8A">
        <w:rPr>
          <w:b/>
          <w:sz w:val="28"/>
          <w:szCs w:val="28"/>
        </w:rPr>
        <w:t xml:space="preserve"> ŞI </w:t>
      </w:r>
      <w:r w:rsidRPr="00D50342">
        <w:rPr>
          <w:b/>
          <w:sz w:val="28"/>
          <w:szCs w:val="28"/>
        </w:rPr>
        <w:t xml:space="preserve">STĂRII DE ALERTĂ LA NIVELUL </w:t>
      </w:r>
      <w:r w:rsidR="00D77D8A">
        <w:rPr>
          <w:b/>
          <w:sz w:val="28"/>
          <w:szCs w:val="28"/>
        </w:rPr>
        <w:t xml:space="preserve">JUDECĂTORIEI CURTEA DE ARGEŞ </w:t>
      </w:r>
      <w:r w:rsidR="00D50342">
        <w:rPr>
          <w:b/>
          <w:sz w:val="28"/>
          <w:szCs w:val="28"/>
        </w:rPr>
        <w:t>ȘI EFECTELE ACESTORA</w:t>
      </w:r>
    </w:p>
    <w:p w:rsidR="00A7137C" w:rsidRDefault="00A7137C" w:rsidP="00A7137C">
      <w:pPr>
        <w:ind w:firstLine="708"/>
        <w:jc w:val="both"/>
        <w:rPr>
          <w:sz w:val="28"/>
          <w:szCs w:val="28"/>
        </w:rPr>
      </w:pPr>
    </w:p>
    <w:p w:rsidR="004B2930" w:rsidRPr="00F86C2C" w:rsidRDefault="004B2930" w:rsidP="00A7137C">
      <w:pPr>
        <w:ind w:firstLine="708"/>
        <w:jc w:val="both"/>
        <w:rPr>
          <w:sz w:val="28"/>
          <w:szCs w:val="28"/>
        </w:rPr>
      </w:pPr>
    </w:p>
    <w:p w:rsidR="00A7137C" w:rsidRPr="002F5F22" w:rsidRDefault="00A7137C" w:rsidP="00A7137C">
      <w:pPr>
        <w:numPr>
          <w:ilvl w:val="0"/>
          <w:numId w:val="36"/>
        </w:numPr>
        <w:jc w:val="both"/>
        <w:rPr>
          <w:b/>
          <w:sz w:val="28"/>
          <w:szCs w:val="28"/>
        </w:rPr>
      </w:pPr>
      <w:r w:rsidRPr="002F5F22">
        <w:rPr>
          <w:b/>
          <w:sz w:val="28"/>
          <w:szCs w:val="28"/>
        </w:rPr>
        <w:t>FORMAREA PROFESIONALĂ A PERSONALULUI</w:t>
      </w:r>
    </w:p>
    <w:p w:rsidR="00A7137C" w:rsidRPr="00F86C2C" w:rsidRDefault="00A7137C" w:rsidP="00A7137C">
      <w:pPr>
        <w:jc w:val="both"/>
        <w:rPr>
          <w:b/>
          <w:sz w:val="28"/>
          <w:szCs w:val="28"/>
        </w:rPr>
      </w:pPr>
    </w:p>
    <w:p w:rsidR="00A7137C" w:rsidRPr="00F86C2C" w:rsidRDefault="00A7137C" w:rsidP="00A7137C">
      <w:pPr>
        <w:ind w:firstLine="708"/>
        <w:jc w:val="both"/>
        <w:rPr>
          <w:b/>
          <w:sz w:val="28"/>
          <w:szCs w:val="28"/>
        </w:rPr>
      </w:pPr>
    </w:p>
    <w:p w:rsidR="00A7137C" w:rsidRPr="00F86C2C" w:rsidRDefault="00A7137C" w:rsidP="00A7137C">
      <w:pPr>
        <w:numPr>
          <w:ilvl w:val="0"/>
          <w:numId w:val="36"/>
        </w:numPr>
        <w:jc w:val="both"/>
        <w:rPr>
          <w:b/>
          <w:sz w:val="28"/>
          <w:szCs w:val="28"/>
        </w:rPr>
      </w:pPr>
      <w:r w:rsidRPr="00F86C2C">
        <w:rPr>
          <w:b/>
          <w:sz w:val="28"/>
          <w:szCs w:val="28"/>
        </w:rPr>
        <w:t xml:space="preserve">INFRASTRUCTURA INSTANŢEI </w:t>
      </w:r>
    </w:p>
    <w:p w:rsidR="00A7137C" w:rsidRDefault="00A7137C" w:rsidP="00A7137C">
      <w:pPr>
        <w:jc w:val="both"/>
        <w:rPr>
          <w:b/>
          <w:sz w:val="28"/>
          <w:szCs w:val="28"/>
        </w:rPr>
      </w:pPr>
    </w:p>
    <w:p w:rsidR="00A7137C" w:rsidRPr="00F86C2C" w:rsidRDefault="00A7137C" w:rsidP="00A7137C">
      <w:pPr>
        <w:jc w:val="both"/>
        <w:rPr>
          <w:b/>
          <w:sz w:val="28"/>
          <w:szCs w:val="28"/>
        </w:rPr>
      </w:pPr>
    </w:p>
    <w:p w:rsidR="00A7137C" w:rsidRPr="00F86C2C" w:rsidRDefault="00A7137C" w:rsidP="00A7137C">
      <w:pPr>
        <w:numPr>
          <w:ilvl w:val="0"/>
          <w:numId w:val="36"/>
        </w:numPr>
        <w:jc w:val="both"/>
        <w:rPr>
          <w:b/>
          <w:sz w:val="28"/>
          <w:szCs w:val="28"/>
        </w:rPr>
      </w:pPr>
      <w:r w:rsidRPr="00F86C2C">
        <w:rPr>
          <w:b/>
          <w:sz w:val="28"/>
          <w:szCs w:val="28"/>
        </w:rPr>
        <w:t xml:space="preserve">CONCLUZII. PROPUNERILE </w:t>
      </w:r>
      <w:r>
        <w:rPr>
          <w:b/>
          <w:sz w:val="28"/>
          <w:szCs w:val="28"/>
        </w:rPr>
        <w:t>PENTRU Î</w:t>
      </w:r>
      <w:r w:rsidRPr="00F86C2C">
        <w:rPr>
          <w:b/>
          <w:sz w:val="28"/>
          <w:szCs w:val="28"/>
        </w:rPr>
        <w:t>MBUNĂTĂŢIR</w:t>
      </w:r>
      <w:r>
        <w:rPr>
          <w:b/>
          <w:sz w:val="28"/>
          <w:szCs w:val="28"/>
        </w:rPr>
        <w:t xml:space="preserve">EA </w:t>
      </w:r>
      <w:r w:rsidRPr="00F86C2C">
        <w:rPr>
          <w:b/>
          <w:sz w:val="28"/>
          <w:szCs w:val="28"/>
        </w:rPr>
        <w:t>ACTIVITĂŢII</w:t>
      </w:r>
    </w:p>
    <w:p w:rsidR="00A7137C" w:rsidRPr="00F86C2C" w:rsidRDefault="00A7137C" w:rsidP="00A7137C">
      <w:pPr>
        <w:jc w:val="center"/>
        <w:rPr>
          <w:b/>
          <w:sz w:val="28"/>
          <w:szCs w:val="28"/>
        </w:rPr>
      </w:pPr>
    </w:p>
    <w:p w:rsidR="00A7137C" w:rsidRPr="00F86C2C" w:rsidRDefault="00A7137C" w:rsidP="00A7137C">
      <w:pPr>
        <w:jc w:val="center"/>
        <w:rPr>
          <w:b/>
        </w:rPr>
      </w:pPr>
    </w:p>
    <w:p w:rsidR="00A7137C" w:rsidRPr="00F86C2C" w:rsidRDefault="00A7137C" w:rsidP="00A7137C">
      <w:pPr>
        <w:jc w:val="center"/>
        <w:rPr>
          <w:b/>
        </w:rPr>
      </w:pPr>
    </w:p>
    <w:p w:rsidR="00A7137C" w:rsidRPr="00F86C2C" w:rsidRDefault="00A7137C" w:rsidP="00A7137C">
      <w:pPr>
        <w:jc w:val="center"/>
        <w:rPr>
          <w:b/>
        </w:rPr>
      </w:pPr>
    </w:p>
    <w:p w:rsidR="00A7137C" w:rsidRPr="00F86C2C" w:rsidRDefault="00A7137C" w:rsidP="00A7137C">
      <w:pPr>
        <w:jc w:val="center"/>
        <w:rPr>
          <w:b/>
        </w:rPr>
      </w:pPr>
    </w:p>
    <w:p w:rsidR="00A7137C" w:rsidRPr="00F86C2C" w:rsidRDefault="00A7137C" w:rsidP="00A7137C">
      <w:pPr>
        <w:jc w:val="center"/>
        <w:rPr>
          <w:b/>
        </w:rPr>
      </w:pPr>
    </w:p>
    <w:p w:rsidR="00A7137C" w:rsidRPr="00F86C2C" w:rsidRDefault="00A7137C" w:rsidP="00A7137C">
      <w:pPr>
        <w:jc w:val="center"/>
        <w:rPr>
          <w:b/>
        </w:rPr>
      </w:pPr>
    </w:p>
    <w:p w:rsidR="00A7137C" w:rsidRPr="00F86C2C" w:rsidRDefault="00A7137C" w:rsidP="00A7137C">
      <w:pPr>
        <w:jc w:val="center"/>
        <w:rPr>
          <w:b/>
        </w:rPr>
      </w:pPr>
    </w:p>
    <w:p w:rsidR="00A7137C" w:rsidRPr="00F86C2C" w:rsidRDefault="00A7137C" w:rsidP="00A7137C">
      <w:pPr>
        <w:jc w:val="center"/>
        <w:rPr>
          <w:b/>
          <w:sz w:val="32"/>
          <w:szCs w:val="32"/>
        </w:rPr>
      </w:pPr>
    </w:p>
    <w:p w:rsidR="002D18BD" w:rsidRPr="00EF54A3" w:rsidRDefault="002D18BD" w:rsidP="002D18BD">
      <w:pPr>
        <w:ind w:left="1080"/>
        <w:rPr>
          <w:b/>
          <w:sz w:val="28"/>
          <w:szCs w:val="28"/>
        </w:rPr>
      </w:pPr>
    </w:p>
    <w:p w:rsidR="002D18BD" w:rsidRPr="00EF54A3" w:rsidRDefault="002D18BD" w:rsidP="002D18BD">
      <w:pPr>
        <w:jc w:val="center"/>
        <w:rPr>
          <w:b/>
          <w:sz w:val="28"/>
          <w:szCs w:val="28"/>
        </w:rPr>
      </w:pPr>
      <w:r w:rsidRPr="00EF54A3">
        <w:rPr>
          <w:b/>
          <w:sz w:val="28"/>
          <w:szCs w:val="28"/>
        </w:rPr>
        <w:lastRenderedPageBreak/>
        <w:t xml:space="preserve">I. </w:t>
      </w:r>
      <w:r w:rsidR="00A7137C" w:rsidRPr="00EF54A3">
        <w:rPr>
          <w:b/>
          <w:sz w:val="28"/>
          <w:szCs w:val="28"/>
        </w:rPr>
        <w:t>DATE STATISTICE</w:t>
      </w:r>
      <w:r w:rsidR="004B2930">
        <w:rPr>
          <w:b/>
          <w:sz w:val="28"/>
          <w:szCs w:val="28"/>
        </w:rPr>
        <w:t xml:space="preserve"> </w:t>
      </w:r>
      <w:r w:rsidR="00A7137C" w:rsidRPr="00EF54A3">
        <w:rPr>
          <w:b/>
          <w:sz w:val="28"/>
          <w:szCs w:val="28"/>
        </w:rPr>
        <w:t>PRIVIND ACTIVITATEA</w:t>
      </w:r>
    </w:p>
    <w:p w:rsidR="00A7137C" w:rsidRPr="00EF54A3" w:rsidRDefault="00A7137C" w:rsidP="002D18BD">
      <w:pPr>
        <w:jc w:val="center"/>
        <w:rPr>
          <w:b/>
          <w:sz w:val="28"/>
          <w:szCs w:val="28"/>
        </w:rPr>
      </w:pPr>
      <w:r w:rsidRPr="00EF54A3">
        <w:rPr>
          <w:b/>
          <w:sz w:val="28"/>
          <w:szCs w:val="28"/>
        </w:rPr>
        <w:t>INSTANŢEI JUDECĂTOREŞTI</w:t>
      </w:r>
    </w:p>
    <w:p w:rsidR="00A7137C" w:rsidRPr="00E1561E" w:rsidRDefault="00A7137C" w:rsidP="002D18BD">
      <w:pPr>
        <w:jc w:val="center"/>
        <w:rPr>
          <w:b/>
        </w:rPr>
      </w:pPr>
    </w:p>
    <w:p w:rsidR="00EF54A3" w:rsidRPr="00E1561E" w:rsidRDefault="00EF54A3" w:rsidP="002D18BD">
      <w:pPr>
        <w:jc w:val="center"/>
        <w:rPr>
          <w:b/>
        </w:rPr>
      </w:pPr>
    </w:p>
    <w:p w:rsidR="00A7137C" w:rsidRPr="003E04F3" w:rsidRDefault="004B2930" w:rsidP="00194A53">
      <w:pPr>
        <w:jc w:val="center"/>
        <w:rPr>
          <w:b/>
        </w:rPr>
      </w:pPr>
      <w:r>
        <w:rPr>
          <w:b/>
        </w:rPr>
        <w:t>I.1</w:t>
      </w:r>
      <w:r w:rsidR="003E04F3">
        <w:rPr>
          <w:b/>
        </w:rPr>
        <w:t xml:space="preserve">. </w:t>
      </w:r>
      <w:r w:rsidR="00A7137C" w:rsidRPr="003E04F3">
        <w:rPr>
          <w:b/>
        </w:rPr>
        <w:t>Volum</w:t>
      </w:r>
      <w:bookmarkStart w:id="0" w:name="_GoBack"/>
      <w:bookmarkEnd w:id="0"/>
      <w:r w:rsidR="00A7137C" w:rsidRPr="003E04F3">
        <w:rPr>
          <w:b/>
        </w:rPr>
        <w:t>ul de activitate</w:t>
      </w:r>
    </w:p>
    <w:p w:rsidR="00426147" w:rsidRPr="00426147" w:rsidRDefault="00426147" w:rsidP="003E04F3">
      <w:pPr>
        <w:pStyle w:val="Listparagraf"/>
        <w:ind w:left="1068"/>
        <w:rPr>
          <w:b/>
        </w:rPr>
      </w:pPr>
    </w:p>
    <w:p w:rsidR="00A7137C" w:rsidRPr="00E1561E" w:rsidRDefault="00A7137C" w:rsidP="00A7137C">
      <w:pPr>
        <w:jc w:val="both"/>
      </w:pPr>
      <w:r w:rsidRPr="00E1561E">
        <w:tab/>
        <w:t xml:space="preserve">În cursul anului 2020, pe rolul Judecătoriei Curtea de Argeş au fost înregistrate 4932 cauze nou-intrate la care s-au adăugat un număr de 1524 dosare rămase în stoc la data de 31 decembrie 2019, rezultând un volum total de 6456 cauze. </w:t>
      </w:r>
    </w:p>
    <w:p w:rsidR="00A7137C" w:rsidRPr="00E1561E" w:rsidRDefault="00A7137C" w:rsidP="00A7137C">
      <w:pPr>
        <w:ind w:firstLine="708"/>
        <w:jc w:val="both"/>
      </w:pPr>
      <w:r w:rsidRPr="00E1561E">
        <w:t xml:space="preserve">Dintre acestea, în cursul anului 2020 au fost soluţionate un număr de 4701 dosare, astfel că, la data de 31 decembrie 2020, au rămas în stoc 1755 de dosare. </w:t>
      </w:r>
    </w:p>
    <w:tbl>
      <w:tblPr>
        <w:tblW w:w="5000" w:type="pct"/>
        <w:tblCellSpacing w:w="7" w:type="dxa"/>
        <w:tblCellMar>
          <w:left w:w="0" w:type="dxa"/>
          <w:right w:w="0" w:type="dxa"/>
        </w:tblCellMar>
        <w:tblLook w:val="04A0" w:firstRow="1" w:lastRow="0" w:firstColumn="1" w:lastColumn="0" w:noHBand="0" w:noVBand="1"/>
      </w:tblPr>
      <w:tblGrid>
        <w:gridCol w:w="8532"/>
      </w:tblGrid>
      <w:tr w:rsidR="00A7137C" w:rsidRPr="00E1561E" w:rsidTr="00C873F8">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504"/>
            </w:tblGrid>
            <w:tr w:rsidR="00A7137C" w:rsidRPr="00E1561E" w:rsidTr="00C873F8">
              <w:trPr>
                <w:tblCellSpacing w:w="0" w:type="dxa"/>
              </w:trPr>
              <w:tc>
                <w:tcPr>
                  <w:tcW w:w="0" w:type="auto"/>
                  <w:hideMark/>
                </w:tcPr>
                <w:p w:rsidR="00A7137C" w:rsidRPr="00E1561E" w:rsidRDefault="00A7137C" w:rsidP="00C873F8">
                  <w:pPr>
                    <w:rPr>
                      <w:rFonts w:ascii="Cambria" w:hAnsi="Cambria"/>
                      <w:sz w:val="21"/>
                      <w:szCs w:val="21"/>
                    </w:rPr>
                  </w:pPr>
                </w:p>
              </w:tc>
            </w:tr>
          </w:tbl>
          <w:p w:rsidR="00A7137C" w:rsidRPr="00E1561E" w:rsidRDefault="00A7137C" w:rsidP="00C873F8">
            <w:pPr>
              <w:rPr>
                <w:rFonts w:ascii="Cambria" w:hAnsi="Cambria"/>
                <w:sz w:val="21"/>
                <w:szCs w:val="21"/>
              </w:rPr>
            </w:pPr>
          </w:p>
        </w:tc>
      </w:tr>
      <w:tr w:rsidR="00A7137C" w:rsidRPr="00E1561E" w:rsidTr="00C873F8">
        <w:trPr>
          <w:tblCellSpacing w:w="7" w:type="dxa"/>
        </w:trPr>
        <w:tc>
          <w:tcPr>
            <w:tcW w:w="0" w:type="auto"/>
            <w:vAlign w:val="center"/>
            <w:hideMark/>
          </w:tcPr>
          <w:p w:rsidR="00A7137C" w:rsidRPr="00E1561E" w:rsidRDefault="00A7137C" w:rsidP="00C873F8">
            <w:pPr>
              <w:rPr>
                <w:rFonts w:ascii="Cambria" w:hAnsi="Cambria"/>
                <w:sz w:val="21"/>
                <w:szCs w:val="21"/>
              </w:rPr>
            </w:pPr>
            <w:r w:rsidRPr="00E1561E">
              <w:rPr>
                <w:rFonts w:ascii="Cambria" w:hAnsi="Cambria"/>
                <w:sz w:val="21"/>
                <w:szCs w:val="21"/>
              </w:rPr>
              <w:t> </w:t>
            </w:r>
          </w:p>
        </w:tc>
      </w:tr>
      <w:tr w:rsidR="00A7137C" w:rsidRPr="00E1561E" w:rsidTr="00C873F8">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504"/>
            </w:tblGrid>
            <w:tr w:rsidR="00A7137C" w:rsidRPr="00E1561E" w:rsidTr="00C873F8">
              <w:trPr>
                <w:tblCellSpacing w:w="0" w:type="dxa"/>
              </w:trPr>
              <w:tc>
                <w:tcPr>
                  <w:tcW w:w="0" w:type="auto"/>
                  <w:vAlign w:val="center"/>
                  <w:hideMark/>
                </w:tcPr>
                <w:p w:rsidR="00A7137C" w:rsidRPr="00E1561E" w:rsidRDefault="00A7137C" w:rsidP="00C873F8">
                  <w:pPr>
                    <w:rPr>
                      <w:rFonts w:ascii="Cambria" w:hAnsi="Cambria"/>
                      <w:sz w:val="21"/>
                      <w:szCs w:val="21"/>
                    </w:rPr>
                  </w:pPr>
                </w:p>
              </w:tc>
            </w:tr>
            <w:tr w:rsidR="00A7137C" w:rsidRPr="00E1561E" w:rsidTr="00C873F8">
              <w:trPr>
                <w:tblCellSpacing w:w="0" w:type="dxa"/>
                <w:hidden/>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504"/>
                  </w:tblGrid>
                  <w:tr w:rsidR="00A7137C" w:rsidRPr="00E1561E" w:rsidTr="00C873F8">
                    <w:trPr>
                      <w:tblCellSpacing w:w="0" w:type="dxa"/>
                      <w:hidden/>
                    </w:trPr>
                    <w:tc>
                      <w:tcPr>
                        <w:tcW w:w="0" w:type="auto"/>
                        <w:hideMark/>
                      </w:tcPr>
                      <w:p w:rsidR="00A7137C" w:rsidRPr="00E1561E" w:rsidRDefault="00A7137C" w:rsidP="00C873F8">
                        <w:pPr>
                          <w:rPr>
                            <w:rFonts w:ascii="Cambria" w:hAnsi="Cambria"/>
                            <w:vanish/>
                            <w:sz w:val="21"/>
                            <w:szCs w:val="21"/>
                          </w:rPr>
                        </w:pPr>
                      </w:p>
                      <w:tbl>
                        <w:tblPr>
                          <w:tblW w:w="4626" w:type="pct"/>
                          <w:tblCellSpacing w:w="0" w:type="dxa"/>
                          <w:tblCellMar>
                            <w:left w:w="0" w:type="dxa"/>
                            <w:right w:w="0" w:type="dxa"/>
                          </w:tblCellMar>
                          <w:tblLook w:val="04A0" w:firstRow="1" w:lastRow="0" w:firstColumn="1" w:lastColumn="0" w:noHBand="0" w:noVBand="1"/>
                        </w:tblPr>
                        <w:tblGrid>
                          <w:gridCol w:w="2134"/>
                          <w:gridCol w:w="565"/>
                          <w:gridCol w:w="1176"/>
                          <w:gridCol w:w="766"/>
                          <w:gridCol w:w="565"/>
                          <w:gridCol w:w="634"/>
                          <w:gridCol w:w="590"/>
                          <w:gridCol w:w="483"/>
                          <w:gridCol w:w="590"/>
                          <w:gridCol w:w="1001"/>
                        </w:tblGrid>
                        <w:tr w:rsidR="00A7137C" w:rsidRPr="00E1561E" w:rsidTr="00C873F8">
                          <w:trPr>
                            <w:tblCellSpacing w:w="0" w:type="dxa"/>
                          </w:trPr>
                          <w:tc>
                            <w:tcPr>
                              <w:tcW w:w="124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rPr>
                                  <w:rFonts w:ascii="Tahoma" w:hAnsi="Tahoma" w:cs="Tahoma"/>
                                  <w:b/>
                                  <w:bCs/>
                                  <w:sz w:val="17"/>
                                  <w:szCs w:val="17"/>
                                </w:rPr>
                              </w:pPr>
                              <w:r w:rsidRPr="00E1561E">
                                <w:rPr>
                                  <w:rFonts w:ascii="Tahoma" w:hAnsi="Tahoma" w:cs="Tahoma"/>
                                  <w:b/>
                                  <w:bCs/>
                                  <w:sz w:val="17"/>
                                  <w:szCs w:val="17"/>
                                </w:rPr>
                                <w:t>DENUMIRE JUDECATORIE</w:t>
                              </w:r>
                            </w:p>
                          </w:tc>
                          <w:tc>
                            <w:tcPr>
                              <w:tcW w:w="1465"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VOLUM ACTIVITATE</w:t>
                              </w:r>
                            </w:p>
                          </w:tc>
                          <w:tc>
                            <w:tcPr>
                              <w:tcW w:w="1705"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SOLUTIONATE</w:t>
                              </w:r>
                            </w:p>
                          </w:tc>
                          <w:tc>
                            <w:tcPr>
                              <w:tcW w:w="585"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STOC FINAL</w:t>
                              </w:r>
                            </w:p>
                          </w:tc>
                        </w:tr>
                        <w:tr w:rsidR="00A7137C" w:rsidRPr="00E1561E" w:rsidTr="00C873F8">
                          <w:trPr>
                            <w:tblCellSpacing w:w="0" w:type="dxa"/>
                          </w:trPr>
                          <w:tc>
                            <w:tcPr>
                              <w:tcW w:w="0" w:type="auto"/>
                              <w:vMerge/>
                              <w:tcBorders>
                                <w:bottom w:val="single" w:sz="6" w:space="0" w:color="FFFFFF"/>
                                <w:right w:val="single" w:sz="6" w:space="0" w:color="FFFFFF"/>
                              </w:tcBorders>
                              <w:vAlign w:val="center"/>
                              <w:hideMark/>
                            </w:tcPr>
                            <w:p w:rsidR="00A7137C" w:rsidRPr="00E1561E" w:rsidRDefault="00A7137C" w:rsidP="00C873F8">
                              <w:pPr>
                                <w:rPr>
                                  <w:rFonts w:ascii="Tahoma" w:hAnsi="Tahoma" w:cs="Tahoma"/>
                                  <w:b/>
                                  <w:bCs/>
                                  <w:sz w:val="17"/>
                                  <w:szCs w:val="17"/>
                                </w:rPr>
                              </w:pPr>
                            </w:p>
                          </w:tc>
                          <w:tc>
                            <w:tcPr>
                              <w:tcW w:w="33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TOTAL</w:t>
                              </w:r>
                            </w:p>
                          </w:tc>
                          <w:tc>
                            <w:tcPr>
                              <w:tcW w:w="1134"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DIN CARE</w:t>
                              </w:r>
                            </w:p>
                          </w:tc>
                          <w:tc>
                            <w:tcPr>
                              <w:tcW w:w="33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TOTAL</w:t>
                              </w:r>
                            </w:p>
                          </w:tc>
                          <w:tc>
                            <w:tcPr>
                              <w:tcW w:w="1374"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DIN CARE DIN</w:t>
                              </w:r>
                            </w:p>
                          </w:tc>
                          <w:tc>
                            <w:tcPr>
                              <w:tcW w:w="0" w:type="auto"/>
                              <w:vMerge/>
                              <w:tcBorders>
                                <w:bottom w:val="single" w:sz="6" w:space="0" w:color="FFFFFF"/>
                              </w:tcBorders>
                              <w:vAlign w:val="center"/>
                              <w:hideMark/>
                            </w:tcPr>
                            <w:p w:rsidR="00A7137C" w:rsidRPr="00E1561E" w:rsidRDefault="00A7137C" w:rsidP="00C873F8">
                              <w:pPr>
                                <w:rPr>
                                  <w:rFonts w:ascii="Tahoma" w:hAnsi="Tahoma" w:cs="Tahoma"/>
                                  <w:b/>
                                  <w:bCs/>
                                  <w:sz w:val="17"/>
                                  <w:szCs w:val="17"/>
                                </w:rPr>
                              </w:pPr>
                            </w:p>
                          </w:tc>
                        </w:tr>
                        <w:tr w:rsidR="00A7137C" w:rsidRPr="00E1561E" w:rsidTr="00C873F8">
                          <w:trPr>
                            <w:tblCellSpacing w:w="0" w:type="dxa"/>
                          </w:trPr>
                          <w:tc>
                            <w:tcPr>
                              <w:tcW w:w="0" w:type="auto"/>
                              <w:vMerge/>
                              <w:tcBorders>
                                <w:bottom w:val="single" w:sz="6" w:space="0" w:color="FFFFFF"/>
                                <w:right w:val="single" w:sz="6" w:space="0" w:color="FFFFFF"/>
                              </w:tcBorders>
                              <w:vAlign w:val="center"/>
                              <w:hideMark/>
                            </w:tcPr>
                            <w:p w:rsidR="00A7137C" w:rsidRPr="00E1561E" w:rsidRDefault="00A7137C" w:rsidP="00C873F8">
                              <w:pPr>
                                <w:rPr>
                                  <w:rFonts w:ascii="Tahoma" w:hAnsi="Tahoma" w:cs="Tahoma"/>
                                  <w:b/>
                                  <w:bCs/>
                                  <w:sz w:val="17"/>
                                  <w:szCs w:val="17"/>
                                </w:rPr>
                              </w:pPr>
                            </w:p>
                          </w:tc>
                          <w:tc>
                            <w:tcPr>
                              <w:tcW w:w="0" w:type="auto"/>
                              <w:vMerge/>
                              <w:tcBorders>
                                <w:bottom w:val="single" w:sz="6" w:space="0" w:color="FFFFFF"/>
                                <w:right w:val="single" w:sz="6" w:space="0" w:color="FFFFFF"/>
                              </w:tcBorders>
                              <w:vAlign w:val="center"/>
                              <w:hideMark/>
                            </w:tcPr>
                            <w:p w:rsidR="00A7137C" w:rsidRPr="00E1561E" w:rsidRDefault="00A7137C" w:rsidP="00C873F8">
                              <w:pPr>
                                <w:rPr>
                                  <w:rFonts w:ascii="Tahoma" w:hAnsi="Tahoma" w:cs="Tahoma"/>
                                  <w:b/>
                                  <w:bCs/>
                                  <w:sz w:val="17"/>
                                  <w:szCs w:val="17"/>
                                </w:rPr>
                              </w:pPr>
                            </w:p>
                          </w:tc>
                          <w:tc>
                            <w:tcPr>
                              <w:tcW w:w="687"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STOC INITIAL</w:t>
                              </w:r>
                            </w:p>
                          </w:tc>
                          <w:tc>
                            <w:tcPr>
                              <w:tcW w:w="447"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INTRATE</w:t>
                              </w:r>
                            </w:p>
                          </w:tc>
                          <w:tc>
                            <w:tcPr>
                              <w:tcW w:w="0" w:type="auto"/>
                              <w:vMerge/>
                              <w:tcBorders>
                                <w:bottom w:val="single" w:sz="6" w:space="0" w:color="FFFFFF"/>
                                <w:right w:val="single" w:sz="6" w:space="0" w:color="FFFFFF"/>
                              </w:tcBorders>
                              <w:vAlign w:val="center"/>
                              <w:hideMark/>
                            </w:tcPr>
                            <w:p w:rsidR="00A7137C" w:rsidRPr="00E1561E" w:rsidRDefault="00A7137C" w:rsidP="00C873F8">
                              <w:pPr>
                                <w:rPr>
                                  <w:rFonts w:ascii="Tahoma" w:hAnsi="Tahoma" w:cs="Tahoma"/>
                                  <w:b/>
                                  <w:bCs/>
                                  <w:sz w:val="17"/>
                                  <w:szCs w:val="17"/>
                                </w:rPr>
                              </w:pPr>
                            </w:p>
                          </w:tc>
                          <w:tc>
                            <w:tcPr>
                              <w:tcW w:w="74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STOC INITIAL</w:t>
                              </w:r>
                            </w:p>
                          </w:tc>
                          <w:tc>
                            <w:tcPr>
                              <w:tcW w:w="628"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Pr="00E1561E" w:rsidRDefault="00A7137C" w:rsidP="00C873F8">
                              <w:pPr>
                                <w:jc w:val="center"/>
                                <w:rPr>
                                  <w:rFonts w:ascii="Tahoma" w:hAnsi="Tahoma" w:cs="Tahoma"/>
                                  <w:b/>
                                  <w:bCs/>
                                  <w:sz w:val="17"/>
                                  <w:szCs w:val="17"/>
                                </w:rPr>
                              </w:pPr>
                              <w:r w:rsidRPr="00E1561E">
                                <w:rPr>
                                  <w:rFonts w:ascii="Tahoma" w:hAnsi="Tahoma" w:cs="Tahoma"/>
                                  <w:b/>
                                  <w:bCs/>
                                  <w:sz w:val="17"/>
                                  <w:szCs w:val="17"/>
                                </w:rPr>
                                <w:t>INTRATE</w:t>
                              </w:r>
                            </w:p>
                          </w:tc>
                          <w:tc>
                            <w:tcPr>
                              <w:tcW w:w="0" w:type="auto"/>
                              <w:vMerge/>
                              <w:tcBorders>
                                <w:bottom w:val="single" w:sz="6" w:space="0" w:color="FFFFFF"/>
                              </w:tcBorders>
                              <w:vAlign w:val="center"/>
                              <w:hideMark/>
                            </w:tcPr>
                            <w:p w:rsidR="00A7137C" w:rsidRPr="00E1561E" w:rsidRDefault="00A7137C" w:rsidP="00C873F8">
                              <w:pPr>
                                <w:rPr>
                                  <w:rFonts w:ascii="Tahoma" w:hAnsi="Tahoma" w:cs="Tahoma"/>
                                  <w:b/>
                                  <w:bCs/>
                                  <w:sz w:val="17"/>
                                  <w:szCs w:val="17"/>
                                </w:rPr>
                              </w:pPr>
                            </w:p>
                          </w:tc>
                        </w:tr>
                        <w:tr w:rsidR="00A7137C" w:rsidRPr="00E1561E" w:rsidTr="00C873F8">
                          <w:trPr>
                            <w:tblCellSpacing w:w="0" w:type="dxa"/>
                          </w:trPr>
                          <w:tc>
                            <w:tcPr>
                              <w:tcW w:w="124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rPr>
                                  <w:rFonts w:ascii="Cambria" w:hAnsi="Cambria"/>
                                  <w:sz w:val="21"/>
                                  <w:szCs w:val="21"/>
                                </w:rPr>
                              </w:pPr>
                              <w:r w:rsidRPr="00E1561E">
                                <w:rPr>
                                  <w:rFonts w:ascii="Cambria" w:hAnsi="Cambria"/>
                                  <w:sz w:val="21"/>
                                  <w:szCs w:val="21"/>
                                </w:rPr>
                                <w:t>Judecatoria CURTEA DE ARGES</w:t>
                              </w:r>
                            </w:p>
                          </w:tc>
                          <w:tc>
                            <w:tcPr>
                              <w:tcW w:w="33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6456</w:t>
                              </w:r>
                            </w:p>
                          </w:tc>
                          <w:tc>
                            <w:tcPr>
                              <w:tcW w:w="68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1524</w:t>
                              </w:r>
                            </w:p>
                          </w:tc>
                          <w:tc>
                            <w:tcPr>
                              <w:tcW w:w="44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4932</w:t>
                              </w:r>
                            </w:p>
                          </w:tc>
                          <w:tc>
                            <w:tcPr>
                              <w:tcW w:w="33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4701</w:t>
                              </w:r>
                            </w:p>
                          </w:tc>
                          <w:tc>
                            <w:tcPr>
                              <w:tcW w:w="40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1070</w:t>
                              </w:r>
                            </w:p>
                          </w:tc>
                          <w:tc>
                            <w:tcPr>
                              <w:tcW w:w="34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70,2%</w:t>
                              </w:r>
                            </w:p>
                          </w:tc>
                          <w:tc>
                            <w:tcPr>
                              <w:tcW w:w="28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3631</w:t>
                              </w:r>
                            </w:p>
                          </w:tc>
                          <w:tc>
                            <w:tcPr>
                              <w:tcW w:w="34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73,6%</w:t>
                              </w:r>
                            </w:p>
                          </w:tc>
                          <w:tc>
                            <w:tcPr>
                              <w:tcW w:w="585" w:type="pct"/>
                              <w:tcBorders>
                                <w:bottom w:val="single" w:sz="6" w:space="0" w:color="FFFFFF"/>
                              </w:tcBorders>
                              <w:shd w:val="clear" w:color="auto" w:fill="F0F0F0"/>
                              <w:tcMar>
                                <w:top w:w="15" w:type="dxa"/>
                                <w:left w:w="15" w:type="dxa"/>
                                <w:bottom w:w="15" w:type="dxa"/>
                                <w:right w:w="15" w:type="dxa"/>
                              </w:tcMar>
                              <w:vAlign w:val="center"/>
                              <w:hideMark/>
                            </w:tcPr>
                            <w:p w:rsidR="00A7137C" w:rsidRPr="00E1561E" w:rsidRDefault="00A7137C" w:rsidP="00C873F8">
                              <w:pPr>
                                <w:jc w:val="center"/>
                                <w:rPr>
                                  <w:rFonts w:ascii="Cambria" w:hAnsi="Cambria"/>
                                  <w:sz w:val="21"/>
                                  <w:szCs w:val="21"/>
                                </w:rPr>
                              </w:pPr>
                              <w:r w:rsidRPr="00E1561E">
                                <w:rPr>
                                  <w:rFonts w:ascii="Cambria" w:hAnsi="Cambria"/>
                                  <w:sz w:val="21"/>
                                  <w:szCs w:val="21"/>
                                </w:rPr>
                                <w:t>1755</w:t>
                              </w:r>
                            </w:p>
                          </w:tc>
                        </w:tr>
                      </w:tbl>
                      <w:p w:rsidR="00A7137C" w:rsidRPr="00E1561E" w:rsidRDefault="00A7137C" w:rsidP="00C873F8">
                        <w:pPr>
                          <w:rPr>
                            <w:rFonts w:ascii="Cambria" w:hAnsi="Cambria"/>
                            <w:sz w:val="21"/>
                            <w:szCs w:val="21"/>
                          </w:rPr>
                        </w:pPr>
                      </w:p>
                    </w:tc>
                  </w:tr>
                </w:tbl>
                <w:p w:rsidR="00A7137C" w:rsidRPr="00E1561E" w:rsidRDefault="00A7137C" w:rsidP="00C873F8">
                  <w:pPr>
                    <w:rPr>
                      <w:rFonts w:ascii="Cambria" w:hAnsi="Cambria"/>
                      <w:sz w:val="21"/>
                      <w:szCs w:val="21"/>
                    </w:rPr>
                  </w:pPr>
                </w:p>
              </w:tc>
            </w:tr>
          </w:tbl>
          <w:p w:rsidR="00A7137C" w:rsidRPr="00E1561E" w:rsidRDefault="00A7137C" w:rsidP="00C873F8">
            <w:pPr>
              <w:rPr>
                <w:rFonts w:ascii="Cambria" w:hAnsi="Cambria"/>
                <w:sz w:val="21"/>
                <w:szCs w:val="21"/>
              </w:rPr>
            </w:pPr>
          </w:p>
        </w:tc>
      </w:tr>
    </w:tbl>
    <w:p w:rsidR="00A7137C" w:rsidRPr="002F5F22" w:rsidRDefault="00A7137C" w:rsidP="00A7137C">
      <w:pPr>
        <w:jc w:val="both"/>
        <w:rPr>
          <w:color w:val="FF0000"/>
        </w:rPr>
      </w:pPr>
    </w:p>
    <w:p w:rsidR="00A7137C" w:rsidRPr="00E1561E" w:rsidRDefault="00A7137C" w:rsidP="00A7137C">
      <w:pPr>
        <w:rPr>
          <w:rFonts w:ascii="Cambria" w:hAnsi="Cambria"/>
          <w:vanish/>
          <w:sz w:val="21"/>
          <w:szCs w:val="21"/>
        </w:rPr>
      </w:pPr>
    </w:p>
    <w:p w:rsidR="00A7137C" w:rsidRPr="00E1561E" w:rsidRDefault="00A7137C" w:rsidP="00A7137C">
      <w:pPr>
        <w:ind w:firstLine="708"/>
        <w:jc w:val="both"/>
      </w:pPr>
      <w:r w:rsidRPr="00E1561E">
        <w:t xml:space="preserve">Situaţia dosarelor pe materii se prezintă după cum urmează: </w:t>
      </w:r>
    </w:p>
    <w:tbl>
      <w:tblPr>
        <w:tblW w:w="5000" w:type="pct"/>
        <w:tblCellSpacing w:w="7" w:type="dxa"/>
        <w:tblCellMar>
          <w:left w:w="0" w:type="dxa"/>
          <w:right w:w="0" w:type="dxa"/>
        </w:tblCellMar>
        <w:tblLook w:val="04A0" w:firstRow="1" w:lastRow="0" w:firstColumn="1" w:lastColumn="0" w:noHBand="0" w:noVBand="1"/>
      </w:tblPr>
      <w:tblGrid>
        <w:gridCol w:w="8532"/>
      </w:tblGrid>
      <w:tr w:rsidR="00A7137C" w:rsidTr="00C873F8">
        <w:trPr>
          <w:tblCellSpacing w:w="7" w:type="dxa"/>
        </w:trPr>
        <w:tc>
          <w:tcPr>
            <w:tcW w:w="0" w:type="auto"/>
            <w:vAlign w:val="center"/>
            <w:hideMark/>
          </w:tcPr>
          <w:p w:rsidR="00A7137C" w:rsidRDefault="00A7137C" w:rsidP="00C873F8">
            <w:pPr>
              <w:rPr>
                <w:rFonts w:ascii="Cambria" w:hAnsi="Cambria"/>
                <w:color w:val="000000"/>
                <w:sz w:val="21"/>
                <w:szCs w:val="21"/>
              </w:rPr>
            </w:pPr>
          </w:p>
        </w:tc>
      </w:tr>
      <w:tr w:rsidR="00A7137C" w:rsidTr="00C873F8">
        <w:trPr>
          <w:tblCellSpacing w:w="7" w:type="dxa"/>
        </w:trPr>
        <w:tc>
          <w:tcPr>
            <w:tcW w:w="0" w:type="auto"/>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 </w:t>
            </w:r>
          </w:p>
        </w:tc>
      </w:tr>
      <w:tr w:rsidR="00A7137C" w:rsidTr="00C873F8">
        <w:trPr>
          <w:tblCellSpacing w:w="7"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504"/>
            </w:tblGrid>
            <w:tr w:rsidR="00A7137C" w:rsidTr="00C873F8">
              <w:trPr>
                <w:tblCellSpacing w:w="0" w:type="dxa"/>
              </w:trPr>
              <w:tc>
                <w:tcPr>
                  <w:tcW w:w="0" w:type="auto"/>
                  <w:vAlign w:val="center"/>
                  <w:hideMark/>
                </w:tcPr>
                <w:p w:rsidR="00A7137C" w:rsidRDefault="00A7137C" w:rsidP="00C873F8">
                  <w:pPr>
                    <w:rPr>
                      <w:rFonts w:ascii="Cambria" w:hAnsi="Cambria"/>
                      <w:color w:val="000000"/>
                      <w:sz w:val="21"/>
                      <w:szCs w:val="21"/>
                    </w:rPr>
                  </w:pPr>
                </w:p>
              </w:tc>
            </w:tr>
            <w:tr w:rsidR="00A7137C" w:rsidTr="00C873F8">
              <w:trPr>
                <w:tblCellSpacing w:w="0" w:type="dxa"/>
                <w:hidden/>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504"/>
                  </w:tblGrid>
                  <w:tr w:rsidR="00A7137C" w:rsidTr="00C873F8">
                    <w:trPr>
                      <w:tblCellSpacing w:w="0" w:type="dxa"/>
                      <w:hidden/>
                    </w:trPr>
                    <w:tc>
                      <w:tcPr>
                        <w:tcW w:w="0" w:type="auto"/>
                        <w:hideMark/>
                      </w:tcPr>
                      <w:p w:rsidR="00A7137C" w:rsidRDefault="00A7137C" w:rsidP="00C873F8">
                        <w:pPr>
                          <w:rPr>
                            <w:rFonts w:ascii="Cambria" w:hAnsi="Cambria"/>
                            <w:vanish/>
                            <w:color w:val="000000"/>
                            <w:sz w:val="21"/>
                            <w:szCs w:val="21"/>
                          </w:rPr>
                        </w:pPr>
                      </w:p>
                      <w:tbl>
                        <w:tblPr>
                          <w:tblW w:w="8916" w:type="dxa"/>
                          <w:tblCellSpacing w:w="0" w:type="dxa"/>
                          <w:tblCellMar>
                            <w:left w:w="0" w:type="dxa"/>
                            <w:right w:w="0" w:type="dxa"/>
                          </w:tblCellMar>
                          <w:tblLook w:val="04A0" w:firstRow="1" w:lastRow="0" w:firstColumn="1" w:lastColumn="0" w:noHBand="0" w:noVBand="1"/>
                        </w:tblPr>
                        <w:tblGrid>
                          <w:gridCol w:w="1739"/>
                          <w:gridCol w:w="598"/>
                          <w:gridCol w:w="1247"/>
                          <w:gridCol w:w="811"/>
                          <w:gridCol w:w="598"/>
                          <w:gridCol w:w="670"/>
                          <w:gridCol w:w="624"/>
                          <w:gridCol w:w="512"/>
                          <w:gridCol w:w="624"/>
                          <w:gridCol w:w="1493"/>
                        </w:tblGrid>
                        <w:tr w:rsidR="00A7137C" w:rsidTr="00633F16">
                          <w:trPr>
                            <w:tblCellSpacing w:w="0" w:type="dxa"/>
                          </w:trPr>
                          <w:tc>
                            <w:tcPr>
                              <w:tcW w:w="97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MATERIE JURIDICA</w:t>
                              </w:r>
                            </w:p>
                          </w:tc>
                          <w:tc>
                            <w:tcPr>
                              <w:tcW w:w="1489"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1698" w:type="pct"/>
                              <w:gridSpan w:val="5"/>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837"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FINAL</w:t>
                              </w:r>
                            </w:p>
                          </w:tc>
                        </w:tr>
                        <w:tr w:rsidR="00A7137C" w:rsidTr="00633F16">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3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1154"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DIN CARE</w:t>
                              </w:r>
                            </w:p>
                          </w:tc>
                          <w:tc>
                            <w:tcPr>
                              <w:tcW w:w="33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1363"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DIN CARE DIN</w:t>
                              </w:r>
                            </w:p>
                          </w:tc>
                          <w:tc>
                            <w:tcPr>
                              <w:tcW w:w="837" w:type="pct"/>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r>
                        <w:tr w:rsidR="00A7137C" w:rsidTr="00633F16">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9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5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72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63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837" w:type="pct"/>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r>
                        <w:tr w:rsidR="00A7137C" w:rsidTr="00633F16">
                          <w:trPr>
                            <w:tblCellSpacing w:w="0" w:type="dxa"/>
                          </w:trPr>
                          <w:tc>
                            <w:tcPr>
                              <w:tcW w:w="9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Civil</w:t>
                              </w:r>
                            </w:p>
                          </w:tc>
                          <w:tc>
                            <w:tcPr>
                              <w:tcW w:w="3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2806</w:t>
                              </w:r>
                            </w:p>
                          </w:tc>
                          <w:tc>
                            <w:tcPr>
                              <w:tcW w:w="69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822</w:t>
                              </w:r>
                            </w:p>
                          </w:tc>
                          <w:tc>
                            <w:tcPr>
                              <w:tcW w:w="45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1984</w:t>
                              </w:r>
                            </w:p>
                          </w:tc>
                          <w:tc>
                            <w:tcPr>
                              <w:tcW w:w="3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1775</w:t>
                              </w:r>
                            </w:p>
                          </w:tc>
                          <w:tc>
                            <w:tcPr>
                              <w:tcW w:w="37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461</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56,1%</w:t>
                              </w:r>
                            </w:p>
                          </w:tc>
                          <w:tc>
                            <w:tcPr>
                              <w:tcW w:w="28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1314</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66,2%</w:t>
                              </w:r>
                            </w:p>
                          </w:tc>
                          <w:tc>
                            <w:tcPr>
                              <w:tcW w:w="83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1031</w:t>
                              </w:r>
                            </w:p>
                          </w:tc>
                        </w:tr>
                        <w:tr w:rsidR="00A7137C" w:rsidTr="00633F16">
                          <w:trPr>
                            <w:tblCellSpacing w:w="0" w:type="dxa"/>
                          </w:trPr>
                          <w:tc>
                            <w:tcPr>
                              <w:tcW w:w="9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Litigii cu profesioniştii</w:t>
                              </w:r>
                            </w:p>
                          </w:tc>
                          <w:tc>
                            <w:tcPr>
                              <w:tcW w:w="3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1704</w:t>
                              </w:r>
                            </w:p>
                          </w:tc>
                          <w:tc>
                            <w:tcPr>
                              <w:tcW w:w="699"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179</w:t>
                              </w:r>
                            </w:p>
                          </w:tc>
                          <w:tc>
                            <w:tcPr>
                              <w:tcW w:w="45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1525</w:t>
                              </w:r>
                            </w:p>
                          </w:tc>
                          <w:tc>
                            <w:tcPr>
                              <w:tcW w:w="3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1539</w:t>
                              </w:r>
                            </w:p>
                          </w:tc>
                          <w:tc>
                            <w:tcPr>
                              <w:tcW w:w="376"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169</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94,4%</w:t>
                              </w:r>
                            </w:p>
                          </w:tc>
                          <w:tc>
                            <w:tcPr>
                              <w:tcW w:w="28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1370</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89,8%</w:t>
                              </w:r>
                            </w:p>
                          </w:tc>
                          <w:tc>
                            <w:tcPr>
                              <w:tcW w:w="837"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165</w:t>
                              </w:r>
                            </w:p>
                          </w:tc>
                        </w:tr>
                        <w:tr w:rsidR="00A7137C" w:rsidTr="00633F16">
                          <w:trPr>
                            <w:tblCellSpacing w:w="0" w:type="dxa"/>
                          </w:trPr>
                          <w:tc>
                            <w:tcPr>
                              <w:tcW w:w="9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Penal</w:t>
                              </w:r>
                            </w:p>
                          </w:tc>
                          <w:tc>
                            <w:tcPr>
                              <w:tcW w:w="3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1274</w:t>
                              </w:r>
                            </w:p>
                          </w:tc>
                          <w:tc>
                            <w:tcPr>
                              <w:tcW w:w="69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289</w:t>
                              </w:r>
                            </w:p>
                          </w:tc>
                          <w:tc>
                            <w:tcPr>
                              <w:tcW w:w="45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985</w:t>
                              </w:r>
                            </w:p>
                          </w:tc>
                          <w:tc>
                            <w:tcPr>
                              <w:tcW w:w="3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1023</w:t>
                              </w:r>
                            </w:p>
                          </w:tc>
                          <w:tc>
                            <w:tcPr>
                              <w:tcW w:w="37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268</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92,7%</w:t>
                              </w:r>
                            </w:p>
                          </w:tc>
                          <w:tc>
                            <w:tcPr>
                              <w:tcW w:w="28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755</w:t>
                              </w:r>
                            </w:p>
                          </w:tc>
                          <w:tc>
                            <w:tcPr>
                              <w:tcW w:w="3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76,6%</w:t>
                              </w:r>
                            </w:p>
                          </w:tc>
                          <w:tc>
                            <w:tcPr>
                              <w:tcW w:w="83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251</w:t>
                              </w:r>
                            </w:p>
                          </w:tc>
                        </w:tr>
                        <w:tr w:rsidR="00A7137C" w:rsidTr="00633F16">
                          <w:trPr>
                            <w:tblCellSpacing w:w="0" w:type="dxa"/>
                          </w:trPr>
                          <w:tc>
                            <w:tcPr>
                              <w:tcW w:w="9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Minori şi familie</w:t>
                              </w:r>
                            </w:p>
                          </w:tc>
                          <w:tc>
                            <w:tcPr>
                              <w:tcW w:w="3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672</w:t>
                              </w:r>
                            </w:p>
                          </w:tc>
                          <w:tc>
                            <w:tcPr>
                              <w:tcW w:w="699"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234</w:t>
                              </w:r>
                            </w:p>
                          </w:tc>
                          <w:tc>
                            <w:tcPr>
                              <w:tcW w:w="45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438</w:t>
                              </w:r>
                            </w:p>
                          </w:tc>
                          <w:tc>
                            <w:tcPr>
                              <w:tcW w:w="3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364</w:t>
                              </w:r>
                            </w:p>
                          </w:tc>
                          <w:tc>
                            <w:tcPr>
                              <w:tcW w:w="376"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172</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73,5%</w:t>
                              </w:r>
                            </w:p>
                          </w:tc>
                          <w:tc>
                            <w:tcPr>
                              <w:tcW w:w="28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192</w:t>
                              </w:r>
                            </w:p>
                          </w:tc>
                          <w:tc>
                            <w:tcPr>
                              <w:tcW w:w="35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43,8%</w:t>
                              </w:r>
                            </w:p>
                          </w:tc>
                          <w:tc>
                            <w:tcPr>
                              <w:tcW w:w="837"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308</w:t>
                              </w:r>
                            </w:p>
                          </w:tc>
                        </w:tr>
                      </w:tbl>
                      <w:p w:rsidR="00A7137C" w:rsidRDefault="00A7137C" w:rsidP="00C873F8">
                        <w:pPr>
                          <w:rPr>
                            <w:rFonts w:ascii="Cambria" w:hAnsi="Cambria"/>
                            <w:color w:val="000000"/>
                            <w:sz w:val="21"/>
                            <w:szCs w:val="21"/>
                          </w:rPr>
                        </w:pPr>
                      </w:p>
                    </w:tc>
                  </w:tr>
                </w:tbl>
                <w:p w:rsidR="00A7137C" w:rsidRDefault="00A7137C" w:rsidP="00C873F8">
                  <w:pPr>
                    <w:rPr>
                      <w:rFonts w:ascii="Cambria" w:hAnsi="Cambria"/>
                      <w:color w:val="000000"/>
                      <w:sz w:val="21"/>
                      <w:szCs w:val="21"/>
                    </w:rPr>
                  </w:pPr>
                </w:p>
              </w:tc>
            </w:tr>
          </w:tbl>
          <w:p w:rsidR="00A7137C" w:rsidRDefault="00A7137C" w:rsidP="00C873F8">
            <w:pPr>
              <w:rPr>
                <w:rFonts w:ascii="Cambria" w:hAnsi="Cambria"/>
                <w:color w:val="000000"/>
                <w:sz w:val="21"/>
                <w:szCs w:val="21"/>
              </w:rPr>
            </w:pPr>
          </w:p>
        </w:tc>
      </w:tr>
    </w:tbl>
    <w:p w:rsidR="00A7137C" w:rsidRPr="00E1561E" w:rsidRDefault="00A7137C" w:rsidP="00A7137C">
      <w:pPr>
        <w:jc w:val="both"/>
      </w:pPr>
    </w:p>
    <w:p w:rsidR="00A7137C" w:rsidRPr="00E1561E" w:rsidRDefault="00A7137C" w:rsidP="00A7137C">
      <w:pPr>
        <w:jc w:val="both"/>
      </w:pPr>
      <w:r w:rsidRPr="00E1561E">
        <w:rPr>
          <w:b/>
        </w:rPr>
        <w:tab/>
      </w:r>
      <w:r w:rsidRPr="00E1561E">
        <w:t>Situaţia volumului de activitate în comparaţie cu cea din anii 20</w:t>
      </w:r>
      <w:r>
        <w:t xml:space="preserve">18 </w:t>
      </w:r>
      <w:r w:rsidRPr="00E1561E">
        <w:t>şi 20</w:t>
      </w:r>
      <w:r>
        <w:t xml:space="preserve">19 </w:t>
      </w:r>
      <w:r w:rsidRPr="00E1561E">
        <w:t xml:space="preserve">se prezintă astfel: </w:t>
      </w:r>
    </w:p>
    <w:p w:rsidR="00A7137C" w:rsidRPr="00E1561E" w:rsidRDefault="00A7137C" w:rsidP="00A7137C">
      <w:pPr>
        <w:jc w:val="both"/>
      </w:pP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272"/>
        <w:gridCol w:w="2126"/>
        <w:gridCol w:w="2410"/>
        <w:gridCol w:w="2126"/>
      </w:tblGrid>
      <w:tr w:rsidR="00633F16" w:rsidRPr="00E1561E" w:rsidTr="00633F16">
        <w:trPr>
          <w:jc w:val="center"/>
        </w:trPr>
        <w:tc>
          <w:tcPr>
            <w:tcW w:w="2272" w:type="dxa"/>
            <w:tcBorders>
              <w:bottom w:val="single" w:sz="4" w:space="0" w:color="auto"/>
            </w:tcBorders>
            <w:shd w:val="clear" w:color="auto" w:fill="E6E6E6"/>
          </w:tcPr>
          <w:p w:rsidR="00633F16" w:rsidRPr="00E1561E" w:rsidRDefault="00633F16" w:rsidP="00633F16">
            <w:pPr>
              <w:jc w:val="center"/>
              <w:rPr>
                <w:b/>
              </w:rPr>
            </w:pPr>
            <w:r w:rsidRPr="00E1561E">
              <w:rPr>
                <w:b/>
              </w:rPr>
              <w:t>Cauze înregistrate</w:t>
            </w:r>
          </w:p>
          <w:p w:rsidR="00633F16" w:rsidRPr="00E1561E" w:rsidRDefault="00633F16" w:rsidP="00633F16">
            <w:pPr>
              <w:jc w:val="center"/>
              <w:rPr>
                <w:b/>
              </w:rPr>
            </w:pPr>
            <w:r w:rsidRPr="00E1561E">
              <w:rPr>
                <w:b/>
              </w:rPr>
              <w:t>în anul 201</w:t>
            </w:r>
            <w:r>
              <w:rPr>
                <w:b/>
              </w:rPr>
              <w:t>7</w:t>
            </w:r>
          </w:p>
        </w:tc>
        <w:tc>
          <w:tcPr>
            <w:tcW w:w="2126" w:type="dxa"/>
            <w:tcBorders>
              <w:bottom w:val="single" w:sz="4" w:space="0" w:color="auto"/>
            </w:tcBorders>
            <w:shd w:val="clear" w:color="auto" w:fill="E6E6E6"/>
          </w:tcPr>
          <w:p w:rsidR="00633F16" w:rsidRPr="00E1561E" w:rsidRDefault="00633F16" w:rsidP="00633F16">
            <w:pPr>
              <w:jc w:val="center"/>
              <w:rPr>
                <w:b/>
              </w:rPr>
            </w:pPr>
            <w:r w:rsidRPr="00E1561E">
              <w:rPr>
                <w:b/>
              </w:rPr>
              <w:t>Cauze înregistrate</w:t>
            </w:r>
          </w:p>
          <w:p w:rsidR="00633F16" w:rsidRPr="00E1561E" w:rsidRDefault="00633F16" w:rsidP="00633F16">
            <w:pPr>
              <w:jc w:val="center"/>
              <w:rPr>
                <w:b/>
              </w:rPr>
            </w:pPr>
            <w:r w:rsidRPr="00E1561E">
              <w:rPr>
                <w:b/>
              </w:rPr>
              <w:t>în anul 2018</w:t>
            </w:r>
          </w:p>
        </w:tc>
        <w:tc>
          <w:tcPr>
            <w:tcW w:w="2410" w:type="dxa"/>
            <w:tcBorders>
              <w:bottom w:val="single" w:sz="4" w:space="0" w:color="auto"/>
            </w:tcBorders>
            <w:shd w:val="clear" w:color="auto" w:fill="E6E6E6"/>
          </w:tcPr>
          <w:p w:rsidR="00633F16" w:rsidRPr="00E1561E" w:rsidRDefault="00633F16" w:rsidP="00633F16">
            <w:pPr>
              <w:jc w:val="center"/>
              <w:rPr>
                <w:b/>
              </w:rPr>
            </w:pPr>
            <w:r w:rsidRPr="00E1561E">
              <w:rPr>
                <w:b/>
              </w:rPr>
              <w:t>Cauze înregistrate în anul 2019</w:t>
            </w:r>
          </w:p>
        </w:tc>
        <w:tc>
          <w:tcPr>
            <w:tcW w:w="2126" w:type="dxa"/>
            <w:tcBorders>
              <w:bottom w:val="single" w:sz="4" w:space="0" w:color="auto"/>
            </w:tcBorders>
            <w:shd w:val="clear" w:color="auto" w:fill="E6E6E6"/>
          </w:tcPr>
          <w:p w:rsidR="00633F16" w:rsidRPr="00E1561E" w:rsidRDefault="00633F16" w:rsidP="00633F16">
            <w:pPr>
              <w:jc w:val="center"/>
              <w:rPr>
                <w:b/>
              </w:rPr>
            </w:pPr>
            <w:r w:rsidRPr="00E1561E">
              <w:rPr>
                <w:b/>
              </w:rPr>
              <w:t>Cauze înregistrate în anul 2020</w:t>
            </w:r>
          </w:p>
        </w:tc>
      </w:tr>
      <w:tr w:rsidR="00633F16" w:rsidRPr="00E1561E" w:rsidTr="00633F16">
        <w:trPr>
          <w:jc w:val="center"/>
        </w:trPr>
        <w:tc>
          <w:tcPr>
            <w:tcW w:w="2272" w:type="dxa"/>
            <w:shd w:val="clear" w:color="auto" w:fill="F3F3F3"/>
          </w:tcPr>
          <w:p w:rsidR="00633F16" w:rsidRPr="00E1561E" w:rsidRDefault="00633F16" w:rsidP="00633F16">
            <w:pPr>
              <w:jc w:val="center"/>
            </w:pPr>
            <w:r>
              <w:t>4582</w:t>
            </w:r>
          </w:p>
        </w:tc>
        <w:tc>
          <w:tcPr>
            <w:tcW w:w="2126" w:type="dxa"/>
            <w:shd w:val="clear" w:color="auto" w:fill="F3F3F3"/>
          </w:tcPr>
          <w:p w:rsidR="00633F16" w:rsidRPr="00E1561E" w:rsidRDefault="00633F16" w:rsidP="00633F16">
            <w:pPr>
              <w:jc w:val="center"/>
            </w:pPr>
            <w:r w:rsidRPr="00E1561E">
              <w:t>4327</w:t>
            </w:r>
          </w:p>
        </w:tc>
        <w:tc>
          <w:tcPr>
            <w:tcW w:w="2410" w:type="dxa"/>
            <w:shd w:val="clear" w:color="auto" w:fill="F3F3F3"/>
          </w:tcPr>
          <w:p w:rsidR="00633F16" w:rsidRPr="00E1561E" w:rsidRDefault="00633F16" w:rsidP="00633F16">
            <w:pPr>
              <w:jc w:val="center"/>
            </w:pPr>
            <w:r w:rsidRPr="00E1561E">
              <w:t>5060</w:t>
            </w:r>
          </w:p>
        </w:tc>
        <w:tc>
          <w:tcPr>
            <w:tcW w:w="2126" w:type="dxa"/>
            <w:shd w:val="clear" w:color="auto" w:fill="F3F3F3"/>
          </w:tcPr>
          <w:p w:rsidR="00633F16" w:rsidRPr="00E1561E" w:rsidRDefault="00633F16" w:rsidP="00633F16">
            <w:pPr>
              <w:jc w:val="center"/>
            </w:pPr>
            <w:r w:rsidRPr="00E1561E">
              <w:t>4932</w:t>
            </w:r>
          </w:p>
        </w:tc>
      </w:tr>
    </w:tbl>
    <w:p w:rsidR="00A7137C" w:rsidRPr="002F5F22" w:rsidRDefault="00A7137C" w:rsidP="00A7137C">
      <w:pPr>
        <w:ind w:firstLine="708"/>
        <w:jc w:val="both"/>
        <w:rPr>
          <w:color w:val="FF0000"/>
        </w:rPr>
      </w:pPr>
    </w:p>
    <w:p w:rsidR="00633F16" w:rsidRDefault="00633F16" w:rsidP="00A7137C">
      <w:pPr>
        <w:ind w:firstLine="708"/>
        <w:jc w:val="both"/>
      </w:pPr>
      <w:r>
        <w:t xml:space="preserve">Se constată că, numărul de dosare nou intrate rămâne unul destul de ridicat, superior valorilor înregistrate în anii 2017 şi 2018 însă uşor redus prin comparaţie </w:t>
      </w:r>
      <w:r w:rsidR="00B20381">
        <w:t xml:space="preserve">cu cauzele noi înregistrate în cursul anului 2019. </w:t>
      </w:r>
    </w:p>
    <w:p w:rsidR="00A7137C" w:rsidRPr="00744977" w:rsidRDefault="00A7137C" w:rsidP="00A7137C">
      <w:pPr>
        <w:ind w:firstLine="708"/>
        <w:jc w:val="both"/>
      </w:pPr>
      <w:r w:rsidRPr="00E062FC">
        <w:t>În cursul anului 20</w:t>
      </w:r>
      <w:r>
        <w:t>20</w:t>
      </w:r>
      <w:r w:rsidRPr="00E062FC">
        <w:t xml:space="preserve"> schema de ju</w:t>
      </w:r>
      <w:r>
        <w:t xml:space="preserve">decători prevedea şapte posturi, însă aceasta a fost incompletă pe tot parcursul anului, fiind înregistrată o medie de 4,5 cu privire la prezenţa </w:t>
      </w:r>
      <w:r w:rsidRPr="00744977">
        <w:t>judecătorilor. (2 posturi vacante pe tot parcursul anului şi Stoica Ovidiu-Marian care a fost în concediu pentru creşterea copilului până la vârsta de doi ani în perioadele 12.04-13.08.2020 şi 30.09.2020-31.12.2020)</w:t>
      </w:r>
      <w:r>
        <w:t xml:space="preserve">. </w:t>
      </w:r>
    </w:p>
    <w:p w:rsidR="00A7137C" w:rsidRDefault="00A7137C" w:rsidP="00A7137C">
      <w:pPr>
        <w:ind w:firstLine="708"/>
        <w:jc w:val="both"/>
        <w:rPr>
          <w:color w:val="FF0000"/>
        </w:rPr>
      </w:pPr>
    </w:p>
    <w:p w:rsidR="004B2930" w:rsidRDefault="004B2930" w:rsidP="004B2930">
      <w:pPr>
        <w:rPr>
          <w:b/>
        </w:rPr>
      </w:pPr>
    </w:p>
    <w:p w:rsidR="00A7137C" w:rsidRPr="00E1561E" w:rsidRDefault="004B2930" w:rsidP="00194A53">
      <w:pPr>
        <w:jc w:val="center"/>
      </w:pPr>
      <w:r>
        <w:rPr>
          <w:b/>
        </w:rPr>
        <w:t>I.</w:t>
      </w:r>
      <w:r w:rsidR="00A7137C" w:rsidRPr="00E1561E">
        <w:rPr>
          <w:b/>
        </w:rPr>
        <w:t>2.  Încărcătura pe judecător şi pe schemă</w:t>
      </w:r>
    </w:p>
    <w:p w:rsidR="00A7137C" w:rsidRPr="00E1561E" w:rsidRDefault="00A7137C" w:rsidP="00A7137C">
      <w:pPr>
        <w:jc w:val="both"/>
      </w:pPr>
    </w:p>
    <w:p w:rsidR="00A7137C" w:rsidRPr="00E1561E" w:rsidRDefault="00A7137C" w:rsidP="00A7137C">
      <w:pPr>
        <w:jc w:val="both"/>
      </w:pPr>
      <w:r w:rsidRPr="00E1561E">
        <w:rPr>
          <w:b/>
        </w:rPr>
        <w:tab/>
      </w:r>
      <w:r w:rsidRPr="00E1561E">
        <w:t xml:space="preserve">În anul 2020, pe rolul Judecătoriei Curtea de Argeş au fost înregistrate în total 4932 de dosare nou-intrate, la care s-au adăugat un număr de 1524 dosare rămase în stoc la data de 31 decembrie 2019, rezultând un volum total de 6456 dosare. </w:t>
      </w:r>
    </w:p>
    <w:p w:rsidR="00A7137C" w:rsidRPr="00E1561E" w:rsidRDefault="00A7137C" w:rsidP="00A7137C">
      <w:pPr>
        <w:ind w:firstLine="708"/>
        <w:jc w:val="both"/>
      </w:pPr>
      <w:r w:rsidRPr="00E1561E">
        <w:lastRenderedPageBreak/>
        <w:t>Întrucât în cursul anului 2020 prezenţa judecătorilor a înregistrat o medie de 4,5, încărcătura pe judecător şi pe schemă a fost de 1096 dosare</w:t>
      </w:r>
      <w:r w:rsidR="004B2930">
        <w:t>,</w:t>
      </w:r>
      <w:r w:rsidRPr="00E1561E">
        <w:t xml:space="preserve"> raportată la numărul de dosare nou-intrate şi de 1434,7 dosare</w:t>
      </w:r>
      <w:r w:rsidR="004B2930">
        <w:t>,</w:t>
      </w:r>
      <w:r w:rsidRPr="00E1561E">
        <w:t xml:space="preserve"> raportată la volumul de activitate.   </w:t>
      </w:r>
    </w:p>
    <w:p w:rsidR="00A7137C" w:rsidRPr="00E1561E" w:rsidRDefault="00A7137C" w:rsidP="00A7137C">
      <w:pPr>
        <w:jc w:val="both"/>
      </w:pPr>
      <w:r w:rsidRPr="00E1561E">
        <w:rPr>
          <w:b/>
        </w:rPr>
        <w:tab/>
      </w:r>
      <w:r w:rsidRPr="00E1561E">
        <w:t xml:space="preserve">Raportat la numărul de dosare, încărcătura pe judecător şi pe schemă se prezintă astfel:  </w:t>
      </w:r>
    </w:p>
    <w:p w:rsidR="00A7137C" w:rsidRDefault="00A7137C" w:rsidP="00A7137C">
      <w:pPr>
        <w:jc w:val="both"/>
        <w:rPr>
          <w:color w:val="FF0000"/>
        </w:rPr>
      </w:pPr>
    </w:p>
    <w:tbl>
      <w:tblPr>
        <w:tblW w:w="4653" w:type="pct"/>
        <w:tblCellSpacing w:w="0" w:type="dxa"/>
        <w:tblCellMar>
          <w:left w:w="0" w:type="dxa"/>
          <w:right w:w="0" w:type="dxa"/>
        </w:tblCellMar>
        <w:tblLook w:val="04A0" w:firstRow="1" w:lastRow="0" w:firstColumn="1" w:lastColumn="0" w:noHBand="0" w:noVBand="1"/>
      </w:tblPr>
      <w:tblGrid>
        <w:gridCol w:w="1972"/>
        <w:gridCol w:w="1088"/>
        <w:gridCol w:w="710"/>
        <w:gridCol w:w="659"/>
        <w:gridCol w:w="909"/>
        <w:gridCol w:w="828"/>
        <w:gridCol w:w="737"/>
        <w:gridCol w:w="737"/>
        <w:gridCol w:w="894"/>
      </w:tblGrid>
      <w:tr w:rsidR="00A7137C" w:rsidTr="00C873F8">
        <w:trPr>
          <w:tblCellSpacing w:w="0" w:type="dxa"/>
        </w:trPr>
        <w:tc>
          <w:tcPr>
            <w:tcW w:w="114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3855"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3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1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11"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48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PREZENTA</w:t>
            </w:r>
          </w:p>
        </w:tc>
        <w:tc>
          <w:tcPr>
            <w:tcW w:w="1419"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83"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2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5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69"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50"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19"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r>
      <w:tr w:rsidR="00A7137C" w:rsidTr="00C873F8">
        <w:trPr>
          <w:tblCellSpacing w:w="0" w:type="dxa"/>
        </w:trPr>
        <w:tc>
          <w:tcPr>
            <w:tcW w:w="114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63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1524</w:t>
            </w:r>
          </w:p>
        </w:tc>
        <w:tc>
          <w:tcPr>
            <w:tcW w:w="41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4932</w:t>
            </w:r>
          </w:p>
        </w:tc>
        <w:tc>
          <w:tcPr>
            <w:tcW w:w="38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6456</w:t>
            </w:r>
          </w:p>
        </w:tc>
        <w:tc>
          <w:tcPr>
            <w:tcW w:w="52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6456</w:t>
            </w:r>
          </w:p>
        </w:tc>
        <w:tc>
          <w:tcPr>
            <w:tcW w:w="48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4,5</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1096,0</w:t>
            </w:r>
          </w:p>
        </w:tc>
        <w:tc>
          <w:tcPr>
            <w:tcW w:w="4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1434,7</w:t>
            </w:r>
          </w:p>
        </w:tc>
        <w:tc>
          <w:tcPr>
            <w:tcW w:w="519"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1434,7</w:t>
            </w:r>
          </w:p>
        </w:tc>
      </w:tr>
    </w:tbl>
    <w:p w:rsidR="00A7137C" w:rsidRDefault="00A7137C" w:rsidP="00A7137C">
      <w:pPr>
        <w:jc w:val="both"/>
        <w:rPr>
          <w:color w:val="FF0000"/>
        </w:rPr>
      </w:pPr>
    </w:p>
    <w:p w:rsidR="00A7137C" w:rsidRPr="007C2D0E" w:rsidRDefault="00A7137C" w:rsidP="00A7137C">
      <w:pPr>
        <w:ind w:firstLine="708"/>
        <w:jc w:val="both"/>
      </w:pPr>
      <w:r w:rsidRPr="007C2D0E">
        <w:t xml:space="preserve">În cursul anului 2020 încărcătura pe judecător şi pe schemă, precum şi încărcătura raportată la volumul de activitate a fost net superioară celei din anii precedenţi, în special datorită creșterii numărului de dosare nou-intrate și </w:t>
      </w:r>
      <w:r w:rsidR="004B2930">
        <w:t xml:space="preserve">a </w:t>
      </w:r>
      <w:r w:rsidRPr="007C2D0E">
        <w:t xml:space="preserve">mediei scăzute de prezenţă </w:t>
      </w:r>
      <w:r w:rsidR="004B2930">
        <w:t>în ceea ce priveşte magistraţii</w:t>
      </w:r>
      <w:r w:rsidRPr="007C2D0E">
        <w:t>.</w:t>
      </w:r>
    </w:p>
    <w:p w:rsidR="00A7137C" w:rsidRPr="007C2D0E" w:rsidRDefault="00A7137C" w:rsidP="00A7137C">
      <w:pPr>
        <w:ind w:firstLine="708"/>
        <w:jc w:val="both"/>
      </w:pPr>
      <w:r w:rsidRPr="007C2D0E">
        <w:t>Astfel, în cursul anului 2019, încărcătura pe judecător şi pe schemă a fost de 973,1 dosare</w:t>
      </w:r>
      <w:r w:rsidR="004B2930">
        <w:t>,</w:t>
      </w:r>
      <w:r w:rsidRPr="007C2D0E">
        <w:t xml:space="preserve"> raportată la numărul de dosare nou-intrate şi de 1263,3 dosare</w:t>
      </w:r>
      <w:r w:rsidR="004B2930">
        <w:t>,</w:t>
      </w:r>
      <w:r w:rsidRPr="007C2D0E">
        <w:t xml:space="preserve"> raportată la volumul de activitate, iar în anul 2018, încărcătura pe judecător şi pe schemă a fost de 848,4 dosare</w:t>
      </w:r>
      <w:r w:rsidR="004B2930">
        <w:t>,</w:t>
      </w:r>
      <w:r w:rsidRPr="007C2D0E">
        <w:t xml:space="preserve"> raportată la numărul de dosare nou-intrate şi de 1174,3 dosare raportată la volumul de activitate.   </w:t>
      </w:r>
    </w:p>
    <w:p w:rsidR="00A7137C" w:rsidRPr="007C2D0E" w:rsidRDefault="00A7137C" w:rsidP="00A7137C">
      <w:pPr>
        <w:ind w:firstLine="708"/>
        <w:jc w:val="both"/>
      </w:pP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16"/>
        <w:gridCol w:w="2352"/>
        <w:gridCol w:w="3060"/>
        <w:gridCol w:w="2700"/>
      </w:tblGrid>
      <w:tr w:rsidR="00A7137C" w:rsidRPr="007C2D0E" w:rsidTr="00C873F8">
        <w:trPr>
          <w:jc w:val="center"/>
        </w:trPr>
        <w:tc>
          <w:tcPr>
            <w:tcW w:w="816" w:type="dxa"/>
            <w:shd w:val="clear" w:color="auto" w:fill="E0E0E0"/>
          </w:tcPr>
          <w:p w:rsidR="00A7137C" w:rsidRPr="007C2D0E" w:rsidRDefault="00A7137C" w:rsidP="00C873F8">
            <w:pPr>
              <w:jc w:val="center"/>
              <w:rPr>
                <w:b/>
                <w:sz w:val="20"/>
                <w:szCs w:val="20"/>
              </w:rPr>
            </w:pPr>
            <w:r>
              <w:rPr>
                <w:b/>
                <w:sz w:val="20"/>
                <w:szCs w:val="20"/>
              </w:rPr>
              <w:t>A</w:t>
            </w:r>
            <w:r w:rsidRPr="007C2D0E">
              <w:rPr>
                <w:b/>
                <w:sz w:val="20"/>
                <w:szCs w:val="20"/>
              </w:rPr>
              <w:t>n</w:t>
            </w:r>
          </w:p>
        </w:tc>
        <w:tc>
          <w:tcPr>
            <w:tcW w:w="2352" w:type="dxa"/>
            <w:shd w:val="clear" w:color="auto" w:fill="E0E0E0"/>
          </w:tcPr>
          <w:p w:rsidR="00A7137C" w:rsidRPr="007C2D0E" w:rsidRDefault="00A7137C" w:rsidP="00C873F8">
            <w:pPr>
              <w:jc w:val="center"/>
              <w:rPr>
                <w:b/>
                <w:sz w:val="20"/>
                <w:szCs w:val="20"/>
              </w:rPr>
            </w:pPr>
            <w:r>
              <w:rPr>
                <w:b/>
                <w:sz w:val="20"/>
                <w:szCs w:val="20"/>
              </w:rPr>
              <w:t>M</w:t>
            </w:r>
            <w:r w:rsidRPr="007C2D0E">
              <w:rPr>
                <w:b/>
                <w:sz w:val="20"/>
                <w:szCs w:val="20"/>
              </w:rPr>
              <w:t>edia de prezenţă a magistraţilor</w:t>
            </w:r>
          </w:p>
        </w:tc>
        <w:tc>
          <w:tcPr>
            <w:tcW w:w="3060" w:type="dxa"/>
            <w:shd w:val="clear" w:color="auto" w:fill="E0E0E0"/>
          </w:tcPr>
          <w:p w:rsidR="00A7137C" w:rsidRPr="007C2D0E" w:rsidRDefault="00A7137C" w:rsidP="00C873F8">
            <w:pPr>
              <w:jc w:val="center"/>
              <w:rPr>
                <w:b/>
                <w:sz w:val="20"/>
                <w:szCs w:val="20"/>
              </w:rPr>
            </w:pPr>
            <w:r>
              <w:rPr>
                <w:b/>
                <w:sz w:val="20"/>
                <w:szCs w:val="20"/>
              </w:rPr>
              <w:t>Î</w:t>
            </w:r>
            <w:r w:rsidRPr="007C2D0E">
              <w:rPr>
                <w:b/>
                <w:sz w:val="20"/>
                <w:szCs w:val="20"/>
              </w:rPr>
              <w:t>ncărcătura pe judecător şi pe schemă</w:t>
            </w:r>
          </w:p>
        </w:tc>
        <w:tc>
          <w:tcPr>
            <w:tcW w:w="2700" w:type="dxa"/>
            <w:shd w:val="clear" w:color="auto" w:fill="E0E0E0"/>
          </w:tcPr>
          <w:p w:rsidR="00A7137C" w:rsidRPr="007C2D0E" w:rsidRDefault="00A7137C" w:rsidP="00C873F8">
            <w:pPr>
              <w:jc w:val="center"/>
              <w:rPr>
                <w:b/>
                <w:sz w:val="20"/>
                <w:szCs w:val="20"/>
              </w:rPr>
            </w:pPr>
            <w:r>
              <w:rPr>
                <w:b/>
                <w:sz w:val="20"/>
                <w:szCs w:val="20"/>
              </w:rPr>
              <w:t>Î</w:t>
            </w:r>
            <w:r w:rsidRPr="007C2D0E">
              <w:rPr>
                <w:b/>
                <w:sz w:val="20"/>
                <w:szCs w:val="20"/>
              </w:rPr>
              <w:t>ncărcătura raportată la volumul de activitate</w:t>
            </w:r>
          </w:p>
        </w:tc>
      </w:tr>
      <w:tr w:rsidR="00544DBA" w:rsidRPr="00544DBA" w:rsidTr="00C873F8">
        <w:trPr>
          <w:jc w:val="center"/>
        </w:trPr>
        <w:tc>
          <w:tcPr>
            <w:tcW w:w="816" w:type="dxa"/>
            <w:shd w:val="clear" w:color="auto" w:fill="F3F3F3"/>
          </w:tcPr>
          <w:p w:rsidR="00A7137C" w:rsidRPr="00544DBA" w:rsidRDefault="00A7137C" w:rsidP="00C873F8">
            <w:pPr>
              <w:jc w:val="center"/>
              <w:rPr>
                <w:color w:val="FF0000"/>
              </w:rPr>
            </w:pPr>
            <w:r w:rsidRPr="00544DBA">
              <w:rPr>
                <w:color w:val="FF0000"/>
              </w:rPr>
              <w:t>2020</w:t>
            </w:r>
          </w:p>
        </w:tc>
        <w:tc>
          <w:tcPr>
            <w:tcW w:w="2352" w:type="dxa"/>
            <w:shd w:val="clear" w:color="auto" w:fill="F3F3F3"/>
          </w:tcPr>
          <w:p w:rsidR="00A7137C" w:rsidRPr="00544DBA" w:rsidRDefault="00A7137C" w:rsidP="00C873F8">
            <w:pPr>
              <w:jc w:val="center"/>
              <w:rPr>
                <w:color w:val="FF0000"/>
              </w:rPr>
            </w:pPr>
            <w:r w:rsidRPr="00544DBA">
              <w:rPr>
                <w:color w:val="FF0000"/>
              </w:rPr>
              <w:t>4,5</w:t>
            </w:r>
          </w:p>
        </w:tc>
        <w:tc>
          <w:tcPr>
            <w:tcW w:w="3060" w:type="dxa"/>
            <w:shd w:val="clear" w:color="auto" w:fill="F3F3F3"/>
          </w:tcPr>
          <w:p w:rsidR="00A7137C" w:rsidRPr="00544DBA" w:rsidRDefault="00A7137C" w:rsidP="00C873F8">
            <w:pPr>
              <w:jc w:val="center"/>
              <w:rPr>
                <w:color w:val="FF0000"/>
              </w:rPr>
            </w:pPr>
            <w:r w:rsidRPr="00544DBA">
              <w:rPr>
                <w:color w:val="FF0000"/>
              </w:rPr>
              <w:t>1096</w:t>
            </w:r>
          </w:p>
        </w:tc>
        <w:tc>
          <w:tcPr>
            <w:tcW w:w="2700" w:type="dxa"/>
            <w:shd w:val="clear" w:color="auto" w:fill="F3F3F3"/>
          </w:tcPr>
          <w:p w:rsidR="00A7137C" w:rsidRPr="00544DBA" w:rsidRDefault="00A7137C" w:rsidP="00C873F8">
            <w:pPr>
              <w:jc w:val="center"/>
              <w:rPr>
                <w:color w:val="FF0000"/>
              </w:rPr>
            </w:pPr>
            <w:r w:rsidRPr="00544DBA">
              <w:rPr>
                <w:color w:val="FF0000"/>
              </w:rPr>
              <w:t>1434,7</w:t>
            </w:r>
          </w:p>
        </w:tc>
      </w:tr>
      <w:tr w:rsidR="00A7137C" w:rsidRPr="007C2D0E" w:rsidTr="00C873F8">
        <w:trPr>
          <w:jc w:val="center"/>
        </w:trPr>
        <w:tc>
          <w:tcPr>
            <w:tcW w:w="816" w:type="dxa"/>
            <w:shd w:val="clear" w:color="auto" w:fill="F3F3F3"/>
          </w:tcPr>
          <w:p w:rsidR="00A7137C" w:rsidRPr="007C2D0E" w:rsidRDefault="00A7137C" w:rsidP="00C873F8">
            <w:pPr>
              <w:jc w:val="center"/>
            </w:pPr>
            <w:r w:rsidRPr="007C2D0E">
              <w:t>2019</w:t>
            </w:r>
          </w:p>
        </w:tc>
        <w:tc>
          <w:tcPr>
            <w:tcW w:w="2352" w:type="dxa"/>
            <w:shd w:val="clear" w:color="auto" w:fill="F3F3F3"/>
          </w:tcPr>
          <w:p w:rsidR="00A7137C" w:rsidRPr="007C2D0E" w:rsidRDefault="00A7137C" w:rsidP="00C873F8">
            <w:pPr>
              <w:jc w:val="center"/>
            </w:pPr>
            <w:r w:rsidRPr="007C2D0E">
              <w:t>5,2</w:t>
            </w:r>
          </w:p>
        </w:tc>
        <w:tc>
          <w:tcPr>
            <w:tcW w:w="3060" w:type="dxa"/>
            <w:shd w:val="clear" w:color="auto" w:fill="F3F3F3"/>
          </w:tcPr>
          <w:p w:rsidR="00A7137C" w:rsidRPr="007C2D0E" w:rsidRDefault="00A7137C" w:rsidP="00C873F8">
            <w:pPr>
              <w:jc w:val="center"/>
            </w:pPr>
            <w:r w:rsidRPr="007C2D0E">
              <w:t>973,1</w:t>
            </w:r>
          </w:p>
        </w:tc>
        <w:tc>
          <w:tcPr>
            <w:tcW w:w="2700" w:type="dxa"/>
            <w:shd w:val="clear" w:color="auto" w:fill="F3F3F3"/>
          </w:tcPr>
          <w:p w:rsidR="00A7137C" w:rsidRPr="007C2D0E" w:rsidRDefault="00A7137C" w:rsidP="00C873F8">
            <w:pPr>
              <w:jc w:val="center"/>
            </w:pPr>
            <w:r w:rsidRPr="007C2D0E">
              <w:t>1263,3</w:t>
            </w:r>
          </w:p>
        </w:tc>
      </w:tr>
      <w:tr w:rsidR="00A7137C" w:rsidRPr="007C2D0E" w:rsidTr="00C873F8">
        <w:trPr>
          <w:jc w:val="center"/>
        </w:trPr>
        <w:tc>
          <w:tcPr>
            <w:tcW w:w="816" w:type="dxa"/>
            <w:shd w:val="clear" w:color="auto" w:fill="F3F3F3"/>
          </w:tcPr>
          <w:p w:rsidR="00A7137C" w:rsidRPr="007C2D0E" w:rsidRDefault="00A7137C" w:rsidP="00C873F8">
            <w:pPr>
              <w:jc w:val="center"/>
            </w:pPr>
            <w:r w:rsidRPr="007C2D0E">
              <w:t>2018</w:t>
            </w:r>
          </w:p>
        </w:tc>
        <w:tc>
          <w:tcPr>
            <w:tcW w:w="2352" w:type="dxa"/>
            <w:shd w:val="clear" w:color="auto" w:fill="F3F3F3"/>
          </w:tcPr>
          <w:p w:rsidR="00A7137C" w:rsidRPr="007C2D0E" w:rsidRDefault="00A7137C" w:rsidP="00C873F8">
            <w:pPr>
              <w:jc w:val="center"/>
            </w:pPr>
            <w:r w:rsidRPr="007C2D0E">
              <w:t>5,1</w:t>
            </w:r>
          </w:p>
        </w:tc>
        <w:tc>
          <w:tcPr>
            <w:tcW w:w="3060" w:type="dxa"/>
            <w:shd w:val="clear" w:color="auto" w:fill="F3F3F3"/>
          </w:tcPr>
          <w:p w:rsidR="00A7137C" w:rsidRPr="007C2D0E" w:rsidRDefault="00A7137C" w:rsidP="00C873F8">
            <w:pPr>
              <w:jc w:val="center"/>
            </w:pPr>
            <w:r w:rsidRPr="007C2D0E">
              <w:t>848,4</w:t>
            </w:r>
          </w:p>
        </w:tc>
        <w:tc>
          <w:tcPr>
            <w:tcW w:w="2700" w:type="dxa"/>
            <w:shd w:val="clear" w:color="auto" w:fill="F3F3F3"/>
          </w:tcPr>
          <w:p w:rsidR="00A7137C" w:rsidRPr="007C2D0E" w:rsidRDefault="00A7137C" w:rsidP="00C873F8">
            <w:pPr>
              <w:jc w:val="center"/>
            </w:pPr>
            <w:r w:rsidRPr="007C2D0E">
              <w:t>1174,3</w:t>
            </w:r>
          </w:p>
        </w:tc>
      </w:tr>
    </w:tbl>
    <w:p w:rsidR="00A7137C" w:rsidRPr="007C2D0E" w:rsidRDefault="00A7137C" w:rsidP="00A7137C">
      <w:pPr>
        <w:jc w:val="both"/>
      </w:pPr>
    </w:p>
    <w:p w:rsidR="00A7137C" w:rsidRDefault="00A7137C" w:rsidP="00A7137C">
      <w:pPr>
        <w:ind w:firstLine="708"/>
        <w:jc w:val="both"/>
      </w:pPr>
      <w:r w:rsidRPr="007C2D0E">
        <w:t xml:space="preserve">Comparativ cu celelalte instanţe din judeţul Argeş observăm că Judecătoria Curtea de Argeş se află peste media încărcăturii raportată la volumul de activitate al instanţelor judecătoreşti. </w:t>
      </w:r>
    </w:p>
    <w:p w:rsidR="00A7137C" w:rsidRDefault="00A7137C" w:rsidP="00A7137C">
      <w:pPr>
        <w:jc w:val="both"/>
      </w:pPr>
    </w:p>
    <w:tbl>
      <w:tblPr>
        <w:tblW w:w="4619" w:type="pct"/>
        <w:tblCellSpacing w:w="0" w:type="dxa"/>
        <w:tblCellMar>
          <w:left w:w="0" w:type="dxa"/>
          <w:right w:w="0" w:type="dxa"/>
        </w:tblCellMar>
        <w:tblLook w:val="04A0" w:firstRow="1" w:lastRow="0" w:firstColumn="1" w:lastColumn="0" w:noHBand="0" w:noVBand="1"/>
      </w:tblPr>
      <w:tblGrid>
        <w:gridCol w:w="1249"/>
        <w:gridCol w:w="1210"/>
        <w:gridCol w:w="787"/>
        <w:gridCol w:w="731"/>
        <w:gridCol w:w="1010"/>
        <w:gridCol w:w="919"/>
        <w:gridCol w:w="817"/>
        <w:gridCol w:w="816"/>
        <w:gridCol w:w="995"/>
      </w:tblGrid>
      <w:tr w:rsidR="00A7137C" w:rsidTr="00C873F8">
        <w:trPr>
          <w:tblCellSpacing w:w="0" w:type="dxa"/>
        </w:trPr>
        <w:tc>
          <w:tcPr>
            <w:tcW w:w="724"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TIP INSTANTA</w:t>
            </w:r>
          </w:p>
        </w:tc>
        <w:tc>
          <w:tcPr>
            <w:tcW w:w="4276"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70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5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101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53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PREZENTA</w:t>
            </w:r>
          </w:p>
        </w:tc>
        <w:tc>
          <w:tcPr>
            <w:tcW w:w="1574"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24"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8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9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1076"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99"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77"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r>
      <w:tr w:rsidR="00A7137C" w:rsidTr="00C873F8">
        <w:trPr>
          <w:tblCellSpacing w:w="0" w:type="dxa"/>
        </w:trPr>
        <w:tc>
          <w:tcPr>
            <w:tcW w:w="72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proofErr w:type="spellStart"/>
            <w:r>
              <w:rPr>
                <w:rFonts w:ascii="Cambria" w:hAnsi="Cambria"/>
                <w:color w:val="000000"/>
                <w:sz w:val="21"/>
                <w:szCs w:val="21"/>
              </w:rPr>
              <w:t>Judecatorie</w:t>
            </w:r>
            <w:proofErr w:type="spellEnd"/>
          </w:p>
        </w:tc>
        <w:tc>
          <w:tcPr>
            <w:tcW w:w="70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28616</w:t>
            </w:r>
          </w:p>
        </w:tc>
        <w:tc>
          <w:tcPr>
            <w:tcW w:w="45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64419</w:t>
            </w:r>
          </w:p>
        </w:tc>
        <w:tc>
          <w:tcPr>
            <w:tcW w:w="42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93035</w:t>
            </w:r>
          </w:p>
        </w:tc>
        <w:tc>
          <w:tcPr>
            <w:tcW w:w="58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93040</w:t>
            </w:r>
          </w:p>
        </w:tc>
        <w:tc>
          <w:tcPr>
            <w:tcW w:w="53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92,4</w:t>
            </w:r>
          </w:p>
        </w:tc>
        <w:tc>
          <w:tcPr>
            <w:tcW w:w="49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697,2</w:t>
            </w:r>
          </w:p>
        </w:tc>
        <w:tc>
          <w:tcPr>
            <w:tcW w:w="49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1006,9</w:t>
            </w:r>
          </w:p>
        </w:tc>
        <w:tc>
          <w:tcPr>
            <w:tcW w:w="57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1006,9</w:t>
            </w:r>
          </w:p>
        </w:tc>
      </w:tr>
      <w:tr w:rsidR="00A7137C" w:rsidTr="00C873F8">
        <w:trPr>
          <w:tblCellSpacing w:w="0" w:type="dxa"/>
        </w:trPr>
        <w:tc>
          <w:tcPr>
            <w:tcW w:w="72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Tribunal</w:t>
            </w:r>
          </w:p>
        </w:tc>
        <w:tc>
          <w:tcPr>
            <w:tcW w:w="70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12236</w:t>
            </w:r>
          </w:p>
        </w:tc>
        <w:tc>
          <w:tcPr>
            <w:tcW w:w="45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22832</w:t>
            </w:r>
          </w:p>
        </w:tc>
        <w:tc>
          <w:tcPr>
            <w:tcW w:w="42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35068</w:t>
            </w:r>
          </w:p>
        </w:tc>
        <w:tc>
          <w:tcPr>
            <w:tcW w:w="586"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50379</w:t>
            </w:r>
          </w:p>
        </w:tc>
        <w:tc>
          <w:tcPr>
            <w:tcW w:w="53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72,8</w:t>
            </w:r>
          </w:p>
        </w:tc>
        <w:tc>
          <w:tcPr>
            <w:tcW w:w="499"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313,6</w:t>
            </w:r>
          </w:p>
        </w:tc>
        <w:tc>
          <w:tcPr>
            <w:tcW w:w="499"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481,7</w:t>
            </w:r>
          </w:p>
        </w:tc>
        <w:tc>
          <w:tcPr>
            <w:tcW w:w="577"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692,0</w:t>
            </w:r>
          </w:p>
        </w:tc>
      </w:tr>
      <w:tr w:rsidR="00A7137C" w:rsidTr="00C873F8">
        <w:trPr>
          <w:tblCellSpacing w:w="0" w:type="dxa"/>
        </w:trPr>
        <w:tc>
          <w:tcPr>
            <w:tcW w:w="72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Curte</w:t>
            </w:r>
          </w:p>
        </w:tc>
        <w:tc>
          <w:tcPr>
            <w:tcW w:w="70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3894</w:t>
            </w:r>
          </w:p>
        </w:tc>
        <w:tc>
          <w:tcPr>
            <w:tcW w:w="45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7520</w:t>
            </w:r>
          </w:p>
        </w:tc>
        <w:tc>
          <w:tcPr>
            <w:tcW w:w="42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11414</w:t>
            </w:r>
          </w:p>
        </w:tc>
        <w:tc>
          <w:tcPr>
            <w:tcW w:w="58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24871</w:t>
            </w:r>
          </w:p>
        </w:tc>
        <w:tc>
          <w:tcPr>
            <w:tcW w:w="53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36,3</w:t>
            </w:r>
          </w:p>
        </w:tc>
        <w:tc>
          <w:tcPr>
            <w:tcW w:w="49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207,2</w:t>
            </w:r>
          </w:p>
        </w:tc>
        <w:tc>
          <w:tcPr>
            <w:tcW w:w="49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314,4</w:t>
            </w:r>
          </w:p>
        </w:tc>
        <w:tc>
          <w:tcPr>
            <w:tcW w:w="57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685,2</w:t>
            </w:r>
          </w:p>
        </w:tc>
      </w:tr>
    </w:tbl>
    <w:p w:rsidR="00A7137C" w:rsidRPr="007C2D0E" w:rsidRDefault="00A7137C" w:rsidP="00A7137C">
      <w:pPr>
        <w:jc w:val="both"/>
      </w:pPr>
    </w:p>
    <w:p w:rsidR="00A7137C" w:rsidRDefault="00A7137C" w:rsidP="00A7137C">
      <w:pPr>
        <w:ind w:firstLine="708"/>
        <w:jc w:val="both"/>
      </w:pPr>
      <w:r w:rsidRPr="007C2D0E">
        <w:t xml:space="preserve">Comparativ cu celelalte instanţe cu acelaşi grad din judeţul Argeş observăm că Judecătoria Curtea de Argeş se află pe primul loc în ceea ce priveşte încărcătura raportată la dosarele nou-intrate, dar şi la cea raportată la volumul de activitate.  </w:t>
      </w:r>
    </w:p>
    <w:p w:rsidR="006B6329" w:rsidRDefault="006B6329" w:rsidP="00A7137C">
      <w:pPr>
        <w:ind w:firstLine="708"/>
        <w:jc w:val="both"/>
      </w:pPr>
      <w:r>
        <w:t xml:space="preserve">Reţinând Judecătoria Piteşti ca şi etalon de măsură, constatăm că judecătorii din </w:t>
      </w:r>
      <w:r w:rsidR="004B2930">
        <w:t>cadrul Judecătoriei Curtea de Argeş a</w:t>
      </w:r>
      <w:r>
        <w:t>u avut în lucru cu 33% mai multe dosare decât colegii lor din municipiul reşedinţă de judeţ!</w:t>
      </w:r>
    </w:p>
    <w:p w:rsidR="00176A44" w:rsidRDefault="0062280B" w:rsidP="00A7137C">
      <w:pPr>
        <w:ind w:firstLine="708"/>
        <w:jc w:val="both"/>
      </w:pPr>
      <w:r>
        <w:t>Prin raportare la volumul de activitate al judecătorilor din cadrul Judecătoriei Costeşti care, are aceeaşi schemă de personal</w:t>
      </w:r>
      <w:r w:rsidR="004B2930">
        <w:t xml:space="preserve"> ca şi instanţa noastră,</w:t>
      </w:r>
      <w:r>
        <w:t xml:space="preserve"> </w:t>
      </w:r>
      <w:r w:rsidR="004B2930">
        <w:t xml:space="preserve">în ceea ce priveşte </w:t>
      </w:r>
      <w:r w:rsidR="004B2930">
        <w:lastRenderedPageBreak/>
        <w:t xml:space="preserve">magistraţii </w:t>
      </w:r>
      <w:r>
        <w:t>(7 judecători)</w:t>
      </w:r>
      <w:r w:rsidR="004B2930">
        <w:t>,</w:t>
      </w:r>
      <w:r>
        <w:t xml:space="preserve"> observăm o diferenţă de 42% </w:t>
      </w:r>
      <w:r w:rsidR="0041034C">
        <w:t>în defavoarea magistraților din cadrul Judecătoriei Curtea de Argeș.</w:t>
      </w:r>
    </w:p>
    <w:p w:rsidR="00194A53" w:rsidRDefault="00194A53" w:rsidP="00A7137C">
      <w:pPr>
        <w:ind w:firstLine="708"/>
        <w:jc w:val="both"/>
      </w:pPr>
    </w:p>
    <w:p w:rsidR="00194A53" w:rsidRDefault="00194A53" w:rsidP="00A7137C">
      <w:pPr>
        <w:ind w:firstLine="708"/>
        <w:jc w:val="both"/>
      </w:pPr>
    </w:p>
    <w:tbl>
      <w:tblPr>
        <w:tblW w:w="5000" w:type="pct"/>
        <w:tblCellSpacing w:w="0" w:type="dxa"/>
        <w:tblCellMar>
          <w:left w:w="0" w:type="dxa"/>
          <w:right w:w="0" w:type="dxa"/>
        </w:tblCellMar>
        <w:tblLook w:val="04A0" w:firstRow="1" w:lastRow="0" w:firstColumn="1" w:lastColumn="0" w:noHBand="0" w:noVBand="1"/>
      </w:tblPr>
      <w:tblGrid>
        <w:gridCol w:w="1984"/>
        <w:gridCol w:w="1094"/>
        <w:gridCol w:w="713"/>
        <w:gridCol w:w="663"/>
        <w:gridCol w:w="914"/>
        <w:gridCol w:w="832"/>
        <w:gridCol w:w="718"/>
        <w:gridCol w:w="717"/>
        <w:gridCol w:w="899"/>
      </w:tblGrid>
      <w:tr w:rsidR="00A7137C" w:rsidTr="007059F2">
        <w:trPr>
          <w:tblCellSpacing w:w="0" w:type="dxa"/>
        </w:trPr>
        <w:tc>
          <w:tcPr>
            <w:tcW w:w="116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3837"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A7137C" w:rsidTr="008D7AF9">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4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1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24"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48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PREZENTA</w:t>
            </w:r>
          </w:p>
        </w:tc>
        <w:tc>
          <w:tcPr>
            <w:tcW w:w="1368"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A7137C" w:rsidTr="008D7AF9">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88"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3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2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47"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A7137C" w:rsidTr="008D7AF9">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20"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27"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r>
      <w:tr w:rsidR="00A7137C" w:rsidRPr="007C2D0E" w:rsidTr="008D7AF9">
        <w:trPr>
          <w:tblCellSpacing w:w="0" w:type="dxa"/>
        </w:trPr>
        <w:tc>
          <w:tcPr>
            <w:tcW w:w="11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rPr>
                <w:rFonts w:ascii="Cambria" w:hAnsi="Cambria"/>
                <w:b/>
                <w:color w:val="000000"/>
                <w:sz w:val="21"/>
                <w:szCs w:val="21"/>
              </w:rPr>
            </w:pPr>
            <w:r w:rsidRPr="007C2D0E">
              <w:rPr>
                <w:rFonts w:ascii="Cambria" w:hAnsi="Cambria"/>
                <w:b/>
                <w:color w:val="000000"/>
                <w:sz w:val="21"/>
                <w:szCs w:val="21"/>
              </w:rPr>
              <w:t>Judecatoria CURTEA DE ARGES</w:t>
            </w:r>
          </w:p>
        </w:tc>
        <w:tc>
          <w:tcPr>
            <w:tcW w:w="6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0000FF"/>
                <w:sz w:val="21"/>
                <w:szCs w:val="21"/>
              </w:rPr>
            </w:pPr>
            <w:r w:rsidRPr="007C2D0E">
              <w:rPr>
                <w:rFonts w:ascii="Cambria" w:hAnsi="Cambria"/>
                <w:b/>
                <w:color w:val="0000FF"/>
                <w:sz w:val="21"/>
                <w:szCs w:val="21"/>
              </w:rPr>
              <w:t>1524</w:t>
            </w:r>
          </w:p>
        </w:tc>
        <w:tc>
          <w:tcPr>
            <w:tcW w:w="4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CC0000"/>
                <w:sz w:val="21"/>
                <w:szCs w:val="21"/>
              </w:rPr>
            </w:pPr>
            <w:r w:rsidRPr="007C2D0E">
              <w:rPr>
                <w:rFonts w:ascii="Cambria" w:hAnsi="Cambria"/>
                <w:b/>
                <w:color w:val="CC0000"/>
                <w:sz w:val="21"/>
                <w:szCs w:val="21"/>
              </w:rPr>
              <w:t>4932</w:t>
            </w:r>
          </w:p>
        </w:tc>
        <w:tc>
          <w:tcPr>
            <w:tcW w:w="3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008000"/>
                <w:sz w:val="21"/>
                <w:szCs w:val="21"/>
              </w:rPr>
            </w:pPr>
            <w:r w:rsidRPr="007C2D0E">
              <w:rPr>
                <w:rFonts w:ascii="Cambria" w:hAnsi="Cambria"/>
                <w:b/>
                <w:color w:val="008000"/>
                <w:sz w:val="21"/>
                <w:szCs w:val="21"/>
              </w:rPr>
              <w:t>6456</w:t>
            </w:r>
          </w:p>
        </w:tc>
        <w:tc>
          <w:tcPr>
            <w:tcW w:w="53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CC0000"/>
                <w:sz w:val="21"/>
                <w:szCs w:val="21"/>
              </w:rPr>
            </w:pPr>
            <w:r w:rsidRPr="007C2D0E">
              <w:rPr>
                <w:rFonts w:ascii="Cambria" w:hAnsi="Cambria"/>
                <w:b/>
                <w:color w:val="CC0000"/>
                <w:sz w:val="21"/>
                <w:szCs w:val="21"/>
              </w:rPr>
              <w:t>6456</w:t>
            </w:r>
          </w:p>
        </w:tc>
        <w:tc>
          <w:tcPr>
            <w:tcW w:w="4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008000"/>
                <w:sz w:val="21"/>
                <w:szCs w:val="21"/>
              </w:rPr>
            </w:pPr>
            <w:r w:rsidRPr="007C2D0E">
              <w:rPr>
                <w:rFonts w:ascii="Cambria" w:hAnsi="Cambria"/>
                <w:b/>
                <w:color w:val="008000"/>
                <w:sz w:val="21"/>
                <w:szCs w:val="21"/>
              </w:rPr>
              <w:t>4,5</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008000"/>
                <w:sz w:val="21"/>
                <w:szCs w:val="21"/>
              </w:rPr>
            </w:pPr>
            <w:r w:rsidRPr="007C2D0E">
              <w:rPr>
                <w:rFonts w:ascii="Cambria" w:hAnsi="Cambria"/>
                <w:b/>
                <w:color w:val="008000"/>
                <w:sz w:val="21"/>
                <w:szCs w:val="21"/>
              </w:rPr>
              <w:t>1096,0</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008000"/>
                <w:sz w:val="21"/>
                <w:szCs w:val="21"/>
              </w:rPr>
            </w:pPr>
            <w:r w:rsidRPr="007C2D0E">
              <w:rPr>
                <w:rFonts w:ascii="Cambria" w:hAnsi="Cambria"/>
                <w:b/>
                <w:color w:val="008000"/>
                <w:sz w:val="21"/>
                <w:szCs w:val="21"/>
              </w:rPr>
              <w:t>1434,7</w:t>
            </w:r>
          </w:p>
        </w:tc>
        <w:tc>
          <w:tcPr>
            <w:tcW w:w="527" w:type="pct"/>
            <w:tcBorders>
              <w:bottom w:val="single" w:sz="6" w:space="0" w:color="FFFFFF"/>
            </w:tcBorders>
            <w:shd w:val="clear" w:color="auto" w:fill="F0F0F0"/>
            <w:tcMar>
              <w:top w:w="15" w:type="dxa"/>
              <w:left w:w="15" w:type="dxa"/>
              <w:bottom w:w="15" w:type="dxa"/>
              <w:right w:w="15" w:type="dxa"/>
            </w:tcMar>
            <w:vAlign w:val="center"/>
            <w:hideMark/>
          </w:tcPr>
          <w:p w:rsidR="00A7137C" w:rsidRPr="007C2D0E" w:rsidRDefault="00A7137C" w:rsidP="00C873F8">
            <w:pPr>
              <w:jc w:val="center"/>
              <w:rPr>
                <w:rFonts w:ascii="Cambria" w:hAnsi="Cambria"/>
                <w:b/>
                <w:color w:val="008000"/>
                <w:sz w:val="21"/>
                <w:szCs w:val="21"/>
              </w:rPr>
            </w:pPr>
            <w:r w:rsidRPr="007C2D0E">
              <w:rPr>
                <w:rFonts w:ascii="Cambria" w:hAnsi="Cambria"/>
                <w:b/>
                <w:color w:val="008000"/>
                <w:sz w:val="21"/>
                <w:szCs w:val="21"/>
              </w:rPr>
              <w:t>1434,7</w:t>
            </w:r>
          </w:p>
        </w:tc>
      </w:tr>
      <w:tr w:rsidR="00A7137C" w:rsidTr="008D7AF9">
        <w:trPr>
          <w:tblCellSpacing w:w="0" w:type="dxa"/>
        </w:trPr>
        <w:tc>
          <w:tcPr>
            <w:tcW w:w="11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TOPOLOVENI</w:t>
            </w:r>
          </w:p>
        </w:tc>
        <w:tc>
          <w:tcPr>
            <w:tcW w:w="6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1134</w:t>
            </w:r>
          </w:p>
        </w:tc>
        <w:tc>
          <w:tcPr>
            <w:tcW w:w="4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3752</w:t>
            </w:r>
          </w:p>
        </w:tc>
        <w:tc>
          <w:tcPr>
            <w:tcW w:w="3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4886</w:t>
            </w:r>
          </w:p>
        </w:tc>
        <w:tc>
          <w:tcPr>
            <w:tcW w:w="53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4886</w:t>
            </w:r>
          </w:p>
        </w:tc>
        <w:tc>
          <w:tcPr>
            <w:tcW w:w="4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4,6</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815,7</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1062,2</w:t>
            </w:r>
          </w:p>
        </w:tc>
        <w:tc>
          <w:tcPr>
            <w:tcW w:w="52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1062,2</w:t>
            </w:r>
          </w:p>
        </w:tc>
      </w:tr>
      <w:tr w:rsidR="00A7137C" w:rsidTr="008D7AF9">
        <w:trPr>
          <w:tblCellSpacing w:w="0" w:type="dxa"/>
        </w:trPr>
        <w:tc>
          <w:tcPr>
            <w:tcW w:w="116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CAMPULUNG</w:t>
            </w:r>
          </w:p>
        </w:tc>
        <w:tc>
          <w:tcPr>
            <w:tcW w:w="64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1352</w:t>
            </w:r>
          </w:p>
        </w:tc>
        <w:tc>
          <w:tcPr>
            <w:tcW w:w="4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7068</w:t>
            </w:r>
          </w:p>
        </w:tc>
        <w:tc>
          <w:tcPr>
            <w:tcW w:w="38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8420</w:t>
            </w:r>
          </w:p>
        </w:tc>
        <w:tc>
          <w:tcPr>
            <w:tcW w:w="536"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8422</w:t>
            </w:r>
          </w:p>
        </w:tc>
        <w:tc>
          <w:tcPr>
            <w:tcW w:w="48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8,9</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794,2</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946,1</w:t>
            </w:r>
          </w:p>
        </w:tc>
        <w:tc>
          <w:tcPr>
            <w:tcW w:w="527"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946,3</w:t>
            </w:r>
          </w:p>
        </w:tc>
      </w:tr>
      <w:tr w:rsidR="00A7137C" w:rsidTr="008D7AF9">
        <w:trPr>
          <w:tblCellSpacing w:w="0" w:type="dxa"/>
        </w:trPr>
        <w:tc>
          <w:tcPr>
            <w:tcW w:w="116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COSTESTI</w:t>
            </w:r>
          </w:p>
        </w:tc>
        <w:tc>
          <w:tcPr>
            <w:tcW w:w="64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1282</w:t>
            </w:r>
          </w:p>
        </w:tc>
        <w:tc>
          <w:tcPr>
            <w:tcW w:w="4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4081</w:t>
            </w:r>
          </w:p>
        </w:tc>
        <w:tc>
          <w:tcPr>
            <w:tcW w:w="38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5363</w:t>
            </w:r>
          </w:p>
        </w:tc>
        <w:tc>
          <w:tcPr>
            <w:tcW w:w="536"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5363</w:t>
            </w:r>
          </w:p>
        </w:tc>
        <w:tc>
          <w:tcPr>
            <w:tcW w:w="48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5,3</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770,0</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1011,9</w:t>
            </w:r>
          </w:p>
        </w:tc>
        <w:tc>
          <w:tcPr>
            <w:tcW w:w="527"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1011,9</w:t>
            </w:r>
          </w:p>
        </w:tc>
      </w:tr>
      <w:tr w:rsidR="00A7137C" w:rsidTr="008D7AF9">
        <w:trPr>
          <w:tblCellSpacing w:w="0" w:type="dxa"/>
        </w:trPr>
        <w:tc>
          <w:tcPr>
            <w:tcW w:w="11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PITESTI</w:t>
            </w:r>
          </w:p>
        </w:tc>
        <w:tc>
          <w:tcPr>
            <w:tcW w:w="6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11062</w:t>
            </w:r>
          </w:p>
        </w:tc>
        <w:tc>
          <w:tcPr>
            <w:tcW w:w="4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21043</w:t>
            </w:r>
          </w:p>
        </w:tc>
        <w:tc>
          <w:tcPr>
            <w:tcW w:w="3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32105</w:t>
            </w:r>
          </w:p>
        </w:tc>
        <w:tc>
          <w:tcPr>
            <w:tcW w:w="53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32107</w:t>
            </w:r>
          </w:p>
        </w:tc>
        <w:tc>
          <w:tcPr>
            <w:tcW w:w="4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29,8</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706,1</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1077,3</w:t>
            </w:r>
          </w:p>
        </w:tc>
        <w:tc>
          <w:tcPr>
            <w:tcW w:w="52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1077,4</w:t>
            </w:r>
          </w:p>
        </w:tc>
      </w:tr>
    </w:tbl>
    <w:p w:rsidR="008D7AF9" w:rsidRDefault="008D7AF9" w:rsidP="00A7137C">
      <w:pPr>
        <w:ind w:firstLine="708"/>
        <w:jc w:val="both"/>
      </w:pPr>
    </w:p>
    <w:p w:rsidR="008D7AF9" w:rsidRDefault="00A7137C" w:rsidP="00A7137C">
      <w:pPr>
        <w:ind w:firstLine="708"/>
        <w:jc w:val="both"/>
      </w:pPr>
      <w:r w:rsidRPr="00675E3E">
        <w:t>Raportat la complexitate, încărcătura pe judecător şi pe schemă se prezintă astfel:</w:t>
      </w:r>
    </w:p>
    <w:p w:rsidR="00194A53" w:rsidRDefault="00194A53" w:rsidP="00A7137C">
      <w:pPr>
        <w:ind w:firstLine="708"/>
        <w:jc w:val="both"/>
      </w:pPr>
    </w:p>
    <w:tbl>
      <w:tblPr>
        <w:tblW w:w="5000" w:type="pct"/>
        <w:tblCellSpacing w:w="0" w:type="dxa"/>
        <w:tblCellMar>
          <w:left w:w="0" w:type="dxa"/>
          <w:right w:w="0" w:type="dxa"/>
        </w:tblCellMar>
        <w:tblLook w:val="04A0" w:firstRow="1" w:lastRow="0" w:firstColumn="1" w:lastColumn="0" w:noHBand="0" w:noVBand="1"/>
      </w:tblPr>
      <w:tblGrid>
        <w:gridCol w:w="1980"/>
        <w:gridCol w:w="1092"/>
        <w:gridCol w:w="712"/>
        <w:gridCol w:w="661"/>
        <w:gridCol w:w="912"/>
        <w:gridCol w:w="830"/>
        <w:gridCol w:w="726"/>
        <w:gridCol w:w="724"/>
        <w:gridCol w:w="897"/>
      </w:tblGrid>
      <w:tr w:rsidR="00A7137C" w:rsidTr="00B53D2F">
        <w:trPr>
          <w:tblCellSpacing w:w="0" w:type="dxa"/>
        </w:trPr>
        <w:tc>
          <w:tcPr>
            <w:tcW w:w="115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3844"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A7137C" w:rsidTr="00B53D2F">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3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1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18"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48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PREZENTA</w:t>
            </w:r>
          </w:p>
        </w:tc>
        <w:tc>
          <w:tcPr>
            <w:tcW w:w="1387"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A7137C" w:rsidTr="00B53D2F">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86"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3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3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56"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A7137C" w:rsidTr="00B53D2F">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31"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24"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r>
      <w:tr w:rsidR="00A7137C" w:rsidTr="00B53D2F">
        <w:trPr>
          <w:tblCellSpacing w:w="0" w:type="dxa"/>
        </w:trPr>
        <w:tc>
          <w:tcPr>
            <w:tcW w:w="115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63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11626</w:t>
            </w:r>
          </w:p>
        </w:tc>
        <w:tc>
          <w:tcPr>
            <w:tcW w:w="41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19810</w:t>
            </w:r>
          </w:p>
        </w:tc>
        <w:tc>
          <w:tcPr>
            <w:tcW w:w="38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31436</w:t>
            </w:r>
          </w:p>
        </w:tc>
        <w:tc>
          <w:tcPr>
            <w:tcW w:w="53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31436</w:t>
            </w:r>
          </w:p>
        </w:tc>
        <w:tc>
          <w:tcPr>
            <w:tcW w:w="48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4,5</w:t>
            </w:r>
          </w:p>
        </w:tc>
        <w:tc>
          <w:tcPr>
            <w:tcW w:w="43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4402,2</w:t>
            </w:r>
          </w:p>
        </w:tc>
        <w:tc>
          <w:tcPr>
            <w:tcW w:w="43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6985,8</w:t>
            </w:r>
          </w:p>
        </w:tc>
        <w:tc>
          <w:tcPr>
            <w:tcW w:w="524"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6985,8</w:t>
            </w:r>
          </w:p>
        </w:tc>
      </w:tr>
    </w:tbl>
    <w:p w:rsidR="00A7137C" w:rsidRDefault="00A7137C" w:rsidP="00A7137C">
      <w:pPr>
        <w:jc w:val="both"/>
      </w:pPr>
    </w:p>
    <w:p w:rsidR="00194A53" w:rsidRDefault="00194A53" w:rsidP="00A7137C">
      <w:pPr>
        <w:jc w:val="both"/>
      </w:pPr>
    </w:p>
    <w:tbl>
      <w:tblPr>
        <w:tblW w:w="4923" w:type="pct"/>
        <w:tblCellSpacing w:w="0" w:type="dxa"/>
        <w:tblCellMar>
          <w:left w:w="0" w:type="dxa"/>
          <w:right w:w="0" w:type="dxa"/>
        </w:tblCellMar>
        <w:tblLook w:val="04A0" w:firstRow="1" w:lastRow="0" w:firstColumn="1" w:lastColumn="0" w:noHBand="0" w:noVBand="1"/>
      </w:tblPr>
      <w:tblGrid>
        <w:gridCol w:w="1253"/>
        <w:gridCol w:w="1216"/>
        <w:gridCol w:w="791"/>
        <w:gridCol w:w="735"/>
        <w:gridCol w:w="1015"/>
        <w:gridCol w:w="924"/>
        <w:gridCol w:w="799"/>
        <w:gridCol w:w="801"/>
        <w:gridCol w:w="1000"/>
      </w:tblGrid>
      <w:tr w:rsidR="00A7137C" w:rsidTr="006B453C">
        <w:trPr>
          <w:tblCellSpacing w:w="0" w:type="dxa"/>
        </w:trPr>
        <w:tc>
          <w:tcPr>
            <w:tcW w:w="734"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TIP INSTANTA</w:t>
            </w:r>
          </w:p>
        </w:tc>
        <w:tc>
          <w:tcPr>
            <w:tcW w:w="4266"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A7137C" w:rsidTr="006B453C">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71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6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1024"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54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PREZENTA</w:t>
            </w:r>
          </w:p>
        </w:tc>
        <w:tc>
          <w:tcPr>
            <w:tcW w:w="1528"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A7137C" w:rsidTr="006B453C">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30"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94"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7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1057"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A7137C" w:rsidTr="006B453C">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72"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85"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r>
      <w:tr w:rsidR="00A7137C" w:rsidTr="006B453C">
        <w:trPr>
          <w:tblCellSpacing w:w="0" w:type="dxa"/>
        </w:trPr>
        <w:tc>
          <w:tcPr>
            <w:tcW w:w="7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proofErr w:type="spellStart"/>
            <w:r>
              <w:rPr>
                <w:rFonts w:ascii="Cambria" w:hAnsi="Cambria"/>
                <w:color w:val="000000"/>
                <w:sz w:val="21"/>
                <w:szCs w:val="21"/>
              </w:rPr>
              <w:t>Judecatorie</w:t>
            </w:r>
            <w:proofErr w:type="spellEnd"/>
          </w:p>
        </w:tc>
        <w:tc>
          <w:tcPr>
            <w:tcW w:w="71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197743</w:t>
            </w:r>
          </w:p>
        </w:tc>
        <w:tc>
          <w:tcPr>
            <w:tcW w:w="4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258526</w:t>
            </w:r>
          </w:p>
        </w:tc>
        <w:tc>
          <w:tcPr>
            <w:tcW w:w="4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456269</w:t>
            </w:r>
          </w:p>
        </w:tc>
        <w:tc>
          <w:tcPr>
            <w:tcW w:w="59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456312</w:t>
            </w:r>
          </w:p>
        </w:tc>
        <w:tc>
          <w:tcPr>
            <w:tcW w:w="5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92,4</w:t>
            </w:r>
          </w:p>
        </w:tc>
        <w:tc>
          <w:tcPr>
            <w:tcW w:w="47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2797,9</w:t>
            </w:r>
          </w:p>
        </w:tc>
        <w:tc>
          <w:tcPr>
            <w:tcW w:w="47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4938,0</w:t>
            </w:r>
          </w:p>
        </w:tc>
        <w:tc>
          <w:tcPr>
            <w:tcW w:w="585"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4938,4</w:t>
            </w:r>
          </w:p>
        </w:tc>
      </w:tr>
      <w:tr w:rsidR="00A7137C" w:rsidTr="006B453C">
        <w:trPr>
          <w:tblCellSpacing w:w="0" w:type="dxa"/>
        </w:trPr>
        <w:tc>
          <w:tcPr>
            <w:tcW w:w="73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Tribunal</w:t>
            </w:r>
          </w:p>
        </w:tc>
        <w:tc>
          <w:tcPr>
            <w:tcW w:w="711"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136247</w:t>
            </w:r>
          </w:p>
        </w:tc>
        <w:tc>
          <w:tcPr>
            <w:tcW w:w="46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201014</w:t>
            </w:r>
          </w:p>
        </w:tc>
        <w:tc>
          <w:tcPr>
            <w:tcW w:w="43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337261</w:t>
            </w:r>
          </w:p>
        </w:tc>
        <w:tc>
          <w:tcPr>
            <w:tcW w:w="59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453009</w:t>
            </w:r>
          </w:p>
        </w:tc>
        <w:tc>
          <w:tcPr>
            <w:tcW w:w="54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72,8</w:t>
            </w:r>
          </w:p>
        </w:tc>
        <w:tc>
          <w:tcPr>
            <w:tcW w:w="471"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2761,2</w:t>
            </w:r>
          </w:p>
        </w:tc>
        <w:tc>
          <w:tcPr>
            <w:tcW w:w="472"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4632,7</w:t>
            </w:r>
          </w:p>
        </w:tc>
        <w:tc>
          <w:tcPr>
            <w:tcW w:w="585"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6222,7</w:t>
            </w:r>
          </w:p>
        </w:tc>
      </w:tr>
      <w:tr w:rsidR="00A7137C" w:rsidTr="006B453C">
        <w:trPr>
          <w:tblCellSpacing w:w="0" w:type="dxa"/>
        </w:trPr>
        <w:tc>
          <w:tcPr>
            <w:tcW w:w="73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Curte</w:t>
            </w:r>
          </w:p>
        </w:tc>
        <w:tc>
          <w:tcPr>
            <w:tcW w:w="71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50216</w:t>
            </w:r>
          </w:p>
        </w:tc>
        <w:tc>
          <w:tcPr>
            <w:tcW w:w="4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91893</w:t>
            </w:r>
          </w:p>
        </w:tc>
        <w:tc>
          <w:tcPr>
            <w:tcW w:w="4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142109</w:t>
            </w:r>
          </w:p>
        </w:tc>
        <w:tc>
          <w:tcPr>
            <w:tcW w:w="59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321213</w:t>
            </w:r>
          </w:p>
        </w:tc>
        <w:tc>
          <w:tcPr>
            <w:tcW w:w="5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36,3</w:t>
            </w:r>
          </w:p>
        </w:tc>
        <w:tc>
          <w:tcPr>
            <w:tcW w:w="47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2531,5</w:t>
            </w:r>
          </w:p>
        </w:tc>
        <w:tc>
          <w:tcPr>
            <w:tcW w:w="47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3914,8</w:t>
            </w:r>
          </w:p>
        </w:tc>
        <w:tc>
          <w:tcPr>
            <w:tcW w:w="585"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8848,8</w:t>
            </w:r>
          </w:p>
        </w:tc>
      </w:tr>
    </w:tbl>
    <w:p w:rsidR="00194A53" w:rsidRDefault="00194A53" w:rsidP="00A7137C">
      <w:pPr>
        <w:ind w:firstLine="708"/>
        <w:jc w:val="both"/>
      </w:pPr>
    </w:p>
    <w:p w:rsidR="00194A53" w:rsidRDefault="00194A53" w:rsidP="00A7137C">
      <w:pPr>
        <w:ind w:firstLine="708"/>
        <w:jc w:val="both"/>
      </w:pPr>
    </w:p>
    <w:p w:rsidR="00A7137C" w:rsidRDefault="00544DBA" w:rsidP="00A7137C">
      <w:pPr>
        <w:ind w:firstLine="708"/>
        <w:jc w:val="both"/>
      </w:pPr>
      <w:r>
        <w:t>Şi la acest capitol</w:t>
      </w:r>
      <w:r w:rsidR="008D7AF9">
        <w:t>, Judecătoria Curtea de Argeş s</w:t>
      </w:r>
      <w:r w:rsidR="00A7137C" w:rsidRPr="00675E3E">
        <w:t xml:space="preserve">e </w:t>
      </w:r>
      <w:r>
        <w:t>situează pe primul loc, depăşind celelalte judecătorii din judeţ</w:t>
      </w:r>
      <w:r w:rsidR="008D7AF9">
        <w:t>ul Argeş</w:t>
      </w:r>
      <w:r w:rsidR="00B53D2F">
        <w:t xml:space="preserve">. </w:t>
      </w:r>
    </w:p>
    <w:p w:rsidR="00A7137C" w:rsidRDefault="00B53D2F" w:rsidP="008D7AF9">
      <w:pPr>
        <w:ind w:firstLine="708"/>
        <w:jc w:val="both"/>
      </w:pPr>
      <w:r>
        <w:t>Judecătoria Curtea de Argeș este</w:t>
      </w:r>
      <w:r w:rsidR="008D7AF9">
        <w:t>,</w:t>
      </w:r>
      <w:r>
        <w:t xml:space="preserve"> de altfel</w:t>
      </w:r>
      <w:r w:rsidR="008D7AF9">
        <w:t xml:space="preserve">, </w:t>
      </w:r>
      <w:r>
        <w:t xml:space="preserve">singura judecătorie din județul Argeș care, prin prisma încărcăturii pe judecător/complexitate cauze </w:t>
      </w:r>
      <w:r w:rsidR="006B453C">
        <w:t>(6985,8)</w:t>
      </w:r>
      <w:r w:rsidR="008D7AF9">
        <w:t>,</w:t>
      </w:r>
      <w:r w:rsidR="006B453C">
        <w:t xml:space="preserve"> </w:t>
      </w:r>
      <w:r>
        <w:t xml:space="preserve">se situează peste media </w:t>
      </w:r>
      <w:r w:rsidR="008D7AF9">
        <w:t>t</w:t>
      </w:r>
      <w:r>
        <w:t>ribunalelor din raza Curții de Apel Pitești</w:t>
      </w:r>
      <w:r w:rsidR="006B453C">
        <w:t xml:space="preserve"> (6222,7)!</w:t>
      </w:r>
    </w:p>
    <w:p w:rsidR="00194A53" w:rsidRDefault="00194A53" w:rsidP="008D7AF9">
      <w:pPr>
        <w:ind w:firstLine="708"/>
        <w:jc w:val="both"/>
      </w:pPr>
    </w:p>
    <w:p w:rsidR="00194A53" w:rsidRDefault="00194A53" w:rsidP="008D7AF9">
      <w:pPr>
        <w:ind w:firstLine="708"/>
        <w:jc w:val="both"/>
        <w:rPr>
          <w:color w:val="FF0000"/>
        </w:rPr>
      </w:pPr>
    </w:p>
    <w:tbl>
      <w:tblPr>
        <w:tblW w:w="5000" w:type="pct"/>
        <w:tblCellSpacing w:w="0" w:type="dxa"/>
        <w:tblCellMar>
          <w:left w:w="0" w:type="dxa"/>
          <w:right w:w="0" w:type="dxa"/>
        </w:tblCellMar>
        <w:tblLook w:val="04A0" w:firstRow="1" w:lastRow="0" w:firstColumn="1" w:lastColumn="0" w:noHBand="0" w:noVBand="1"/>
      </w:tblPr>
      <w:tblGrid>
        <w:gridCol w:w="1984"/>
        <w:gridCol w:w="1094"/>
        <w:gridCol w:w="713"/>
        <w:gridCol w:w="663"/>
        <w:gridCol w:w="914"/>
        <w:gridCol w:w="832"/>
        <w:gridCol w:w="718"/>
        <w:gridCol w:w="717"/>
        <w:gridCol w:w="899"/>
      </w:tblGrid>
      <w:tr w:rsidR="00A7137C" w:rsidTr="00C873F8">
        <w:trPr>
          <w:tblCellSpacing w:w="0" w:type="dxa"/>
        </w:trPr>
        <w:tc>
          <w:tcPr>
            <w:tcW w:w="116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lastRenderedPageBreak/>
              <w:t>DENUMIRE JUDECATORIE</w:t>
            </w:r>
          </w:p>
        </w:tc>
        <w:tc>
          <w:tcPr>
            <w:tcW w:w="3837"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4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1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23"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48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PREZENTA</w:t>
            </w:r>
          </w:p>
        </w:tc>
        <w:tc>
          <w:tcPr>
            <w:tcW w:w="1368"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88"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3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2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47"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20"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27"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r>
      <w:tr w:rsidR="00A7137C" w:rsidTr="00C873F8">
        <w:trPr>
          <w:tblCellSpacing w:w="0" w:type="dxa"/>
        </w:trPr>
        <w:tc>
          <w:tcPr>
            <w:tcW w:w="11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64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11626</w:t>
            </w:r>
          </w:p>
        </w:tc>
        <w:tc>
          <w:tcPr>
            <w:tcW w:w="4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19810</w:t>
            </w:r>
          </w:p>
        </w:tc>
        <w:tc>
          <w:tcPr>
            <w:tcW w:w="3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31436</w:t>
            </w:r>
          </w:p>
        </w:tc>
        <w:tc>
          <w:tcPr>
            <w:tcW w:w="5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31436</w:t>
            </w:r>
          </w:p>
        </w:tc>
        <w:tc>
          <w:tcPr>
            <w:tcW w:w="48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4,5</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4402,2</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6985,8</w:t>
            </w:r>
          </w:p>
        </w:tc>
        <w:tc>
          <w:tcPr>
            <w:tcW w:w="52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6985,8</w:t>
            </w:r>
          </w:p>
        </w:tc>
      </w:tr>
      <w:tr w:rsidR="00A7137C" w:rsidTr="00C873F8">
        <w:trPr>
          <w:tblCellSpacing w:w="0" w:type="dxa"/>
        </w:trPr>
        <w:tc>
          <w:tcPr>
            <w:tcW w:w="116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TOPOLOVENI</w:t>
            </w:r>
          </w:p>
        </w:tc>
        <w:tc>
          <w:tcPr>
            <w:tcW w:w="641"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7397</w:t>
            </w:r>
          </w:p>
        </w:tc>
        <w:tc>
          <w:tcPr>
            <w:tcW w:w="4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14249</w:t>
            </w:r>
          </w:p>
        </w:tc>
        <w:tc>
          <w:tcPr>
            <w:tcW w:w="38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21646</w:t>
            </w:r>
          </w:p>
        </w:tc>
        <w:tc>
          <w:tcPr>
            <w:tcW w:w="5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21646</w:t>
            </w:r>
          </w:p>
        </w:tc>
        <w:tc>
          <w:tcPr>
            <w:tcW w:w="48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4,6</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3097,6</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4705,7</w:t>
            </w:r>
          </w:p>
        </w:tc>
        <w:tc>
          <w:tcPr>
            <w:tcW w:w="527"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4705,7</w:t>
            </w:r>
          </w:p>
        </w:tc>
      </w:tr>
      <w:tr w:rsidR="00A7137C" w:rsidTr="00C873F8">
        <w:trPr>
          <w:tblCellSpacing w:w="0" w:type="dxa"/>
        </w:trPr>
        <w:tc>
          <w:tcPr>
            <w:tcW w:w="11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PITESTI</w:t>
            </w:r>
          </w:p>
        </w:tc>
        <w:tc>
          <w:tcPr>
            <w:tcW w:w="64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74761</w:t>
            </w:r>
          </w:p>
        </w:tc>
        <w:tc>
          <w:tcPr>
            <w:tcW w:w="4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84425</w:t>
            </w:r>
          </w:p>
        </w:tc>
        <w:tc>
          <w:tcPr>
            <w:tcW w:w="3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159186</w:t>
            </w:r>
          </w:p>
        </w:tc>
        <w:tc>
          <w:tcPr>
            <w:tcW w:w="5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159206</w:t>
            </w:r>
          </w:p>
        </w:tc>
        <w:tc>
          <w:tcPr>
            <w:tcW w:w="48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29,8</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2833,1</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5341,8</w:t>
            </w:r>
          </w:p>
        </w:tc>
        <w:tc>
          <w:tcPr>
            <w:tcW w:w="52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5342,5</w:t>
            </w:r>
          </w:p>
        </w:tc>
      </w:tr>
      <w:tr w:rsidR="00A7137C" w:rsidTr="00C873F8">
        <w:trPr>
          <w:tblCellSpacing w:w="0" w:type="dxa"/>
        </w:trPr>
        <w:tc>
          <w:tcPr>
            <w:tcW w:w="116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COSTESTI</w:t>
            </w:r>
          </w:p>
        </w:tc>
        <w:tc>
          <w:tcPr>
            <w:tcW w:w="641"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10180</w:t>
            </w:r>
          </w:p>
        </w:tc>
        <w:tc>
          <w:tcPr>
            <w:tcW w:w="41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14978</w:t>
            </w:r>
          </w:p>
        </w:tc>
        <w:tc>
          <w:tcPr>
            <w:tcW w:w="38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25158</w:t>
            </w:r>
          </w:p>
        </w:tc>
        <w:tc>
          <w:tcPr>
            <w:tcW w:w="5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25158</w:t>
            </w:r>
          </w:p>
        </w:tc>
        <w:tc>
          <w:tcPr>
            <w:tcW w:w="48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5,3</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2826,0</w:t>
            </w:r>
          </w:p>
        </w:tc>
        <w:tc>
          <w:tcPr>
            <w:tcW w:w="42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4746,8</w:t>
            </w:r>
          </w:p>
        </w:tc>
        <w:tc>
          <w:tcPr>
            <w:tcW w:w="527"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4746,8</w:t>
            </w:r>
          </w:p>
        </w:tc>
      </w:tr>
      <w:tr w:rsidR="00A7137C" w:rsidTr="00C873F8">
        <w:trPr>
          <w:tblCellSpacing w:w="0" w:type="dxa"/>
        </w:trPr>
        <w:tc>
          <w:tcPr>
            <w:tcW w:w="116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CAMPULUNG</w:t>
            </w:r>
          </w:p>
        </w:tc>
        <w:tc>
          <w:tcPr>
            <w:tcW w:w="64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10631</w:t>
            </w:r>
          </w:p>
        </w:tc>
        <w:tc>
          <w:tcPr>
            <w:tcW w:w="4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24977</w:t>
            </w:r>
          </w:p>
        </w:tc>
        <w:tc>
          <w:tcPr>
            <w:tcW w:w="38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35608</w:t>
            </w:r>
          </w:p>
        </w:tc>
        <w:tc>
          <w:tcPr>
            <w:tcW w:w="5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35624</w:t>
            </w:r>
          </w:p>
        </w:tc>
        <w:tc>
          <w:tcPr>
            <w:tcW w:w="48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8,9</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2806,4</w:t>
            </w:r>
          </w:p>
        </w:tc>
        <w:tc>
          <w:tcPr>
            <w:tcW w:w="4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4000,9</w:t>
            </w:r>
          </w:p>
        </w:tc>
        <w:tc>
          <w:tcPr>
            <w:tcW w:w="527"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4002,7</w:t>
            </w:r>
          </w:p>
        </w:tc>
      </w:tr>
    </w:tbl>
    <w:p w:rsidR="008D7AF9" w:rsidRDefault="008D7AF9" w:rsidP="00A7137C">
      <w:pPr>
        <w:ind w:firstLine="708"/>
        <w:jc w:val="both"/>
      </w:pPr>
    </w:p>
    <w:p w:rsidR="00A7137C" w:rsidRDefault="00A7137C" w:rsidP="00A7137C">
      <w:pPr>
        <w:ind w:firstLine="708"/>
        <w:jc w:val="both"/>
      </w:pPr>
      <w:r w:rsidRPr="00675E3E">
        <w:t>Încărcătura pe materii pentru anul 2020</w:t>
      </w:r>
      <w:r>
        <w:t xml:space="preserve">, la nivelul Judecătoriei Curtea de Argeş, </w:t>
      </w:r>
      <w:r w:rsidRPr="00675E3E">
        <w:t xml:space="preserve">se prezintă astfel: </w:t>
      </w:r>
    </w:p>
    <w:p w:rsidR="00A7137C" w:rsidRDefault="00A7137C" w:rsidP="00A7137C">
      <w:pPr>
        <w:jc w:val="both"/>
      </w:pPr>
    </w:p>
    <w:tbl>
      <w:tblPr>
        <w:tblW w:w="4637" w:type="pct"/>
        <w:tblCellSpacing w:w="0" w:type="dxa"/>
        <w:tblCellMar>
          <w:left w:w="0" w:type="dxa"/>
          <w:right w:w="0" w:type="dxa"/>
        </w:tblCellMar>
        <w:tblLook w:val="04A0" w:firstRow="1" w:lastRow="0" w:firstColumn="1" w:lastColumn="0" w:noHBand="0" w:noVBand="1"/>
      </w:tblPr>
      <w:tblGrid>
        <w:gridCol w:w="1602"/>
        <w:gridCol w:w="1150"/>
        <w:gridCol w:w="749"/>
        <w:gridCol w:w="696"/>
        <w:gridCol w:w="961"/>
        <w:gridCol w:w="874"/>
        <w:gridCol w:w="778"/>
        <w:gridCol w:w="778"/>
        <w:gridCol w:w="946"/>
      </w:tblGrid>
      <w:tr w:rsidR="00A7137C" w:rsidTr="00C873F8">
        <w:trPr>
          <w:tblCellSpacing w:w="0" w:type="dxa"/>
        </w:trPr>
        <w:tc>
          <w:tcPr>
            <w:tcW w:w="93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MATERIE JURIDICA</w:t>
            </w:r>
          </w:p>
        </w:tc>
        <w:tc>
          <w:tcPr>
            <w:tcW w:w="4070" w:type="pct"/>
            <w:gridSpan w:val="8"/>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COMPONENTA: NUMAR DOSARE sau COMPLEXITATE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6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3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62"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c>
          <w:tcPr>
            <w:tcW w:w="50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PREZENTA</w:t>
            </w:r>
          </w:p>
        </w:tc>
        <w:tc>
          <w:tcPr>
            <w:tcW w:w="1498" w:type="pct"/>
            <w:gridSpan w:val="3"/>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INCARCATURA RAPORTATA LA</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04"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5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75"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1023" w:type="pct"/>
            <w:gridSpan w:val="2"/>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VOLUM ACTIVITATE</w:t>
            </w:r>
          </w:p>
        </w:tc>
      </w:tr>
      <w:tr w:rsidR="00A7137C" w:rsidTr="00C873F8">
        <w:trPr>
          <w:tblCellSpacing w:w="0" w:type="dxa"/>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475"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EFECTIV</w:t>
            </w:r>
          </w:p>
        </w:tc>
        <w:tc>
          <w:tcPr>
            <w:tcW w:w="549"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ADITIONAT</w:t>
            </w:r>
          </w:p>
        </w:tc>
      </w:tr>
      <w:tr w:rsidR="00A7137C" w:rsidTr="00C873F8">
        <w:trPr>
          <w:tblCellSpacing w:w="0" w:type="dxa"/>
        </w:trPr>
        <w:tc>
          <w:tcPr>
            <w:tcW w:w="9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Civil</w:t>
            </w:r>
          </w:p>
        </w:tc>
        <w:tc>
          <w:tcPr>
            <w:tcW w:w="66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822</w:t>
            </w:r>
          </w:p>
        </w:tc>
        <w:tc>
          <w:tcPr>
            <w:tcW w:w="4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1984</w:t>
            </w:r>
          </w:p>
        </w:tc>
        <w:tc>
          <w:tcPr>
            <w:tcW w:w="40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2806</w:t>
            </w:r>
          </w:p>
        </w:tc>
        <w:tc>
          <w:tcPr>
            <w:tcW w:w="55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2806</w:t>
            </w:r>
          </w:p>
        </w:tc>
        <w:tc>
          <w:tcPr>
            <w:tcW w:w="50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4,5</w:t>
            </w:r>
          </w:p>
        </w:tc>
        <w:tc>
          <w:tcPr>
            <w:tcW w:w="4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440,9</w:t>
            </w:r>
          </w:p>
        </w:tc>
        <w:tc>
          <w:tcPr>
            <w:tcW w:w="4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623,6</w:t>
            </w:r>
          </w:p>
        </w:tc>
        <w:tc>
          <w:tcPr>
            <w:tcW w:w="549"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623,6</w:t>
            </w:r>
          </w:p>
        </w:tc>
      </w:tr>
      <w:tr w:rsidR="00A7137C" w:rsidTr="00C873F8">
        <w:trPr>
          <w:tblCellSpacing w:w="0" w:type="dxa"/>
        </w:trPr>
        <w:tc>
          <w:tcPr>
            <w:tcW w:w="93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Litigii cu profesioniştii</w:t>
            </w:r>
          </w:p>
        </w:tc>
        <w:tc>
          <w:tcPr>
            <w:tcW w:w="66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179</w:t>
            </w:r>
          </w:p>
        </w:tc>
        <w:tc>
          <w:tcPr>
            <w:tcW w:w="4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1525</w:t>
            </w:r>
          </w:p>
        </w:tc>
        <w:tc>
          <w:tcPr>
            <w:tcW w:w="40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1704</w:t>
            </w:r>
          </w:p>
        </w:tc>
        <w:tc>
          <w:tcPr>
            <w:tcW w:w="55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1704</w:t>
            </w:r>
          </w:p>
        </w:tc>
        <w:tc>
          <w:tcPr>
            <w:tcW w:w="50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4,1</w:t>
            </w:r>
          </w:p>
        </w:tc>
        <w:tc>
          <w:tcPr>
            <w:tcW w:w="4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372,0</w:t>
            </w:r>
          </w:p>
        </w:tc>
        <w:tc>
          <w:tcPr>
            <w:tcW w:w="4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415,6</w:t>
            </w:r>
          </w:p>
        </w:tc>
        <w:tc>
          <w:tcPr>
            <w:tcW w:w="549"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415,6</w:t>
            </w:r>
          </w:p>
        </w:tc>
      </w:tr>
      <w:tr w:rsidR="00A7137C" w:rsidTr="00C873F8">
        <w:trPr>
          <w:tblCellSpacing w:w="0" w:type="dxa"/>
        </w:trPr>
        <w:tc>
          <w:tcPr>
            <w:tcW w:w="9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Penal</w:t>
            </w:r>
          </w:p>
        </w:tc>
        <w:tc>
          <w:tcPr>
            <w:tcW w:w="66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289</w:t>
            </w:r>
          </w:p>
        </w:tc>
        <w:tc>
          <w:tcPr>
            <w:tcW w:w="43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985</w:t>
            </w:r>
          </w:p>
        </w:tc>
        <w:tc>
          <w:tcPr>
            <w:tcW w:w="40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1274</w:t>
            </w:r>
          </w:p>
        </w:tc>
        <w:tc>
          <w:tcPr>
            <w:tcW w:w="55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1274</w:t>
            </w:r>
          </w:p>
        </w:tc>
        <w:tc>
          <w:tcPr>
            <w:tcW w:w="50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4,3</w:t>
            </w:r>
          </w:p>
        </w:tc>
        <w:tc>
          <w:tcPr>
            <w:tcW w:w="4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229,1</w:t>
            </w:r>
          </w:p>
        </w:tc>
        <w:tc>
          <w:tcPr>
            <w:tcW w:w="4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296,3</w:t>
            </w:r>
          </w:p>
        </w:tc>
        <w:tc>
          <w:tcPr>
            <w:tcW w:w="549"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296,3</w:t>
            </w:r>
          </w:p>
        </w:tc>
      </w:tr>
      <w:tr w:rsidR="00A7137C" w:rsidTr="00C873F8">
        <w:trPr>
          <w:tblCellSpacing w:w="0" w:type="dxa"/>
        </w:trPr>
        <w:tc>
          <w:tcPr>
            <w:tcW w:w="930"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Minori şi familie</w:t>
            </w:r>
          </w:p>
        </w:tc>
        <w:tc>
          <w:tcPr>
            <w:tcW w:w="66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234</w:t>
            </w:r>
          </w:p>
        </w:tc>
        <w:tc>
          <w:tcPr>
            <w:tcW w:w="43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438</w:t>
            </w:r>
          </w:p>
        </w:tc>
        <w:tc>
          <w:tcPr>
            <w:tcW w:w="404"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672</w:t>
            </w:r>
          </w:p>
        </w:tc>
        <w:tc>
          <w:tcPr>
            <w:tcW w:w="55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672</w:t>
            </w:r>
          </w:p>
        </w:tc>
        <w:tc>
          <w:tcPr>
            <w:tcW w:w="508"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4,5</w:t>
            </w:r>
          </w:p>
        </w:tc>
        <w:tc>
          <w:tcPr>
            <w:tcW w:w="4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97,3</w:t>
            </w:r>
          </w:p>
        </w:tc>
        <w:tc>
          <w:tcPr>
            <w:tcW w:w="4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149,3</w:t>
            </w:r>
          </w:p>
        </w:tc>
        <w:tc>
          <w:tcPr>
            <w:tcW w:w="549"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149,3</w:t>
            </w:r>
          </w:p>
        </w:tc>
      </w:tr>
    </w:tbl>
    <w:p w:rsidR="00A7137C" w:rsidRDefault="00A7137C" w:rsidP="00A7137C">
      <w:pPr>
        <w:jc w:val="both"/>
      </w:pPr>
    </w:p>
    <w:p w:rsidR="00AE6AC9" w:rsidRPr="002D18BD" w:rsidRDefault="00A7137C" w:rsidP="00A7137C">
      <w:pPr>
        <w:ind w:firstLine="708"/>
        <w:jc w:val="both"/>
      </w:pPr>
      <w:r w:rsidRPr="002D18BD">
        <w:t xml:space="preserve">În prima parte a prezentului raport am arătat că numărul de dosare nou-intrate a </w:t>
      </w:r>
      <w:r w:rsidR="00AE6AC9" w:rsidRPr="002D18BD">
        <w:t>rămas destul de ridicat prin raportare la media anilor precedenți</w:t>
      </w:r>
      <w:r w:rsidR="008D7AF9">
        <w:t>,</w:t>
      </w:r>
      <w:r w:rsidR="00AE6AC9" w:rsidRPr="002D18BD">
        <w:t xml:space="preserve"> dar în ușoară scădere față de anul precedent (scăderea fiind de cca. 2%).</w:t>
      </w:r>
    </w:p>
    <w:p w:rsidR="00A7137C" w:rsidRPr="002D18BD" w:rsidRDefault="00A7137C" w:rsidP="00A7137C">
      <w:pPr>
        <w:ind w:firstLine="708"/>
        <w:jc w:val="both"/>
      </w:pPr>
      <w:r w:rsidRPr="002D18BD">
        <w:t>Analizând evoluţia pe materii a dosarelor nou-intrate</w:t>
      </w:r>
      <w:r w:rsidR="00AE6AC9" w:rsidRPr="002D18BD">
        <w:t>, prin raportare la cele din anul precedent</w:t>
      </w:r>
      <w:r w:rsidR="0066139E" w:rsidRPr="002D18BD">
        <w:t>,</w:t>
      </w:r>
      <w:r w:rsidR="00AE6AC9" w:rsidRPr="002D18BD">
        <w:t xml:space="preserve"> </w:t>
      </w:r>
      <w:r w:rsidRPr="002D18BD">
        <w:t>observăm următoarele:</w:t>
      </w:r>
    </w:p>
    <w:p w:rsidR="0066139E" w:rsidRPr="002D18BD" w:rsidRDefault="00A7137C" w:rsidP="00A7137C">
      <w:pPr>
        <w:ind w:firstLine="708"/>
        <w:jc w:val="both"/>
      </w:pPr>
      <w:r w:rsidRPr="002D18BD">
        <w:t>În materiile penal</w:t>
      </w:r>
      <w:r w:rsidR="00AE6AC9" w:rsidRPr="002D18BD">
        <w:t xml:space="preserve"> și minori și familie, încărcătura este aproximativ aceeași cu cea din cursul anului precedent. </w:t>
      </w:r>
      <w:r w:rsidR="0066139E" w:rsidRPr="002D18BD">
        <w:t>Astfel, cauzele penale nou înregistrate prezintă o creștere numerică de doar 3,8%</w:t>
      </w:r>
      <w:r w:rsidR="008D7AF9">
        <w:t>,</w:t>
      </w:r>
      <w:r w:rsidR="0066139E" w:rsidRPr="002D18BD">
        <w:t xml:space="preserve"> iar cele în materia minori și familie </w:t>
      </w:r>
      <w:r w:rsidR="00020615" w:rsidRPr="002D18BD">
        <w:t>o scădere de 4%.</w:t>
      </w:r>
    </w:p>
    <w:p w:rsidR="00AE6AC9" w:rsidRPr="002D18BD" w:rsidRDefault="00AE6AC9" w:rsidP="00A7137C">
      <w:pPr>
        <w:ind w:firstLine="708"/>
        <w:jc w:val="both"/>
      </w:pPr>
      <w:r w:rsidRPr="002D18BD">
        <w:t xml:space="preserve">Se observă </w:t>
      </w:r>
      <w:r w:rsidR="003C1090" w:rsidRPr="002D18BD">
        <w:t xml:space="preserve">însă </w:t>
      </w:r>
      <w:r w:rsidRPr="002D18BD">
        <w:t xml:space="preserve">o creștere </w:t>
      </w:r>
      <w:r w:rsidR="003C1090" w:rsidRPr="002D18BD">
        <w:t xml:space="preserve">semnificativă </w:t>
      </w:r>
      <w:r w:rsidRPr="002D18BD">
        <w:t>a cau</w:t>
      </w:r>
      <w:r w:rsidR="003C1090" w:rsidRPr="002D18BD">
        <w:t>z</w:t>
      </w:r>
      <w:r w:rsidRPr="002D18BD">
        <w:t xml:space="preserve">elor </w:t>
      </w:r>
      <w:r w:rsidR="003C1090" w:rsidRPr="002D18BD">
        <w:t xml:space="preserve">nou înregistrate </w:t>
      </w:r>
      <w:r w:rsidRPr="002D18BD">
        <w:t xml:space="preserve">având ca obiect litigii cu profesioniștii </w:t>
      </w:r>
      <w:r w:rsidR="003C1090" w:rsidRPr="002D18BD">
        <w:t>(35%)</w:t>
      </w:r>
      <w:r w:rsidR="008D7AF9">
        <w:t>,</w:t>
      </w:r>
      <w:r w:rsidR="003C1090" w:rsidRPr="002D18BD">
        <w:t xml:space="preserve"> dar în același timp și o scădere a cauzelor în materi</w:t>
      </w:r>
      <w:r w:rsidR="008D7AF9">
        <w:t>a</w:t>
      </w:r>
      <w:r w:rsidR="003C1090" w:rsidRPr="002D18BD">
        <w:t xml:space="preserve"> civil, cu aproximativ 20%</w:t>
      </w:r>
      <w:r w:rsidR="008D7AF9">
        <w:t>.</w:t>
      </w:r>
      <w:r w:rsidR="003C1090" w:rsidRPr="002D18BD">
        <w:t xml:space="preserve"> </w:t>
      </w:r>
    </w:p>
    <w:p w:rsidR="00A7137C" w:rsidRPr="002F5F22" w:rsidRDefault="00A7137C" w:rsidP="00A7137C">
      <w:pPr>
        <w:jc w:val="both"/>
        <w:rPr>
          <w:color w:val="FF0000"/>
        </w:rPr>
      </w:pPr>
      <w:r w:rsidRPr="002F5F22">
        <w:rPr>
          <w:color w:val="FF0000"/>
        </w:rPr>
        <w:tab/>
      </w:r>
    </w:p>
    <w:p w:rsidR="00A7137C" w:rsidRDefault="00A7137C" w:rsidP="00A7137C">
      <w:pPr>
        <w:ind w:firstLine="708"/>
        <w:jc w:val="both"/>
      </w:pPr>
      <w:r w:rsidRPr="00CC1FCA">
        <w:t xml:space="preserve">b) În ceea ce priveşte </w:t>
      </w:r>
      <w:r w:rsidRPr="00CC1FCA">
        <w:rPr>
          <w:b/>
        </w:rPr>
        <w:t>încărcătura raportată la volumul de activitate</w:t>
      </w:r>
      <w:r w:rsidRPr="00CC1FCA">
        <w:t>.</w:t>
      </w:r>
    </w:p>
    <w:p w:rsidR="00194A53" w:rsidRPr="00CC1FCA" w:rsidRDefault="00194A53" w:rsidP="00A7137C">
      <w:pPr>
        <w:ind w:firstLine="708"/>
        <w:jc w:val="both"/>
      </w:pPr>
    </w:p>
    <w:p w:rsidR="00A7137C" w:rsidRPr="00CC1FCA" w:rsidRDefault="00A7137C" w:rsidP="00A7137C">
      <w:pPr>
        <w:ind w:firstLine="708"/>
        <w:jc w:val="both"/>
      </w:pPr>
      <w:r w:rsidRPr="00CC1FCA">
        <w:t>Analizând datele expuse mai jos se constată că încărcătura raportată la volumul de activitate în anul 2020 este cu 13,6 % mai ridicată faţă de cea din anul 2019 şi cu 35,8 % mai mare decât cea din anul 2018.</w:t>
      </w:r>
    </w:p>
    <w:p w:rsidR="00F64F6D" w:rsidRPr="00CC1FCA" w:rsidRDefault="00F64F6D" w:rsidP="00A7137C">
      <w:pPr>
        <w:ind w:firstLine="708"/>
        <w:jc w:val="both"/>
      </w:pPr>
      <w:r>
        <w:t>Se constată că, în pofida scăderii numărului de dosare nou</w:t>
      </w:r>
      <w:r w:rsidR="008D7AF9">
        <w:t>-</w:t>
      </w:r>
      <w:r>
        <w:t>intrate, față de anul precedent, complexitatea cauzelor este tot în creștere</w:t>
      </w:r>
      <w:r w:rsidR="008D7AF9">
        <w:t>,</w:t>
      </w:r>
      <w:r w:rsidR="00364994">
        <w:t xml:space="preserve"> astfel că nu</w:t>
      </w:r>
      <w:r w:rsidR="008D7AF9">
        <w:t xml:space="preserve"> </w:t>
      </w:r>
      <w:r w:rsidR="00364994">
        <w:t>p</w:t>
      </w:r>
      <w:r w:rsidR="008D7AF9">
        <w:t xml:space="preserve">oate </w:t>
      </w:r>
      <w:r w:rsidR="00364994">
        <w:t>vorbi de o reducere reală a volumului de activitate în cursul anului 2020 ci, dimpotrivă</w:t>
      </w:r>
      <w:r w:rsidR="008D7AF9">
        <w:t>,</w:t>
      </w:r>
      <w:r w:rsidR="00364994">
        <w:t xml:space="preserve"> tot de o creștere a acestui</w:t>
      </w:r>
      <w:r w:rsidR="008D7AF9">
        <w:t>a.</w:t>
      </w:r>
    </w:p>
    <w:p w:rsidR="00A7137C" w:rsidRPr="00CC1FCA" w:rsidRDefault="00A7137C" w:rsidP="00A7137C">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906"/>
        <w:gridCol w:w="2907"/>
        <w:gridCol w:w="2907"/>
      </w:tblGrid>
      <w:tr w:rsidR="00A7137C" w:rsidRPr="00CC1FCA" w:rsidTr="00C873F8">
        <w:tc>
          <w:tcPr>
            <w:tcW w:w="3039" w:type="dxa"/>
            <w:tcBorders>
              <w:bottom w:val="single" w:sz="4" w:space="0" w:color="auto"/>
            </w:tcBorders>
            <w:shd w:val="clear" w:color="auto" w:fill="E0E0E0"/>
          </w:tcPr>
          <w:p w:rsidR="00A7137C" w:rsidRPr="00CC1FCA" w:rsidRDefault="00A7137C" w:rsidP="00C873F8">
            <w:pPr>
              <w:jc w:val="center"/>
              <w:rPr>
                <w:b/>
              </w:rPr>
            </w:pPr>
            <w:r w:rsidRPr="00CC1FCA">
              <w:rPr>
                <w:b/>
              </w:rPr>
              <w:t>Încărcătura raportată la volumul de activitate</w:t>
            </w:r>
          </w:p>
          <w:p w:rsidR="00A7137C" w:rsidRPr="00CC1FCA" w:rsidRDefault="00A7137C" w:rsidP="00C873F8">
            <w:pPr>
              <w:jc w:val="center"/>
              <w:rPr>
                <w:b/>
              </w:rPr>
            </w:pPr>
            <w:r w:rsidRPr="00CC1FCA">
              <w:rPr>
                <w:b/>
              </w:rPr>
              <w:t>2018</w:t>
            </w:r>
          </w:p>
        </w:tc>
        <w:tc>
          <w:tcPr>
            <w:tcW w:w="3039" w:type="dxa"/>
            <w:tcBorders>
              <w:bottom w:val="single" w:sz="4" w:space="0" w:color="auto"/>
            </w:tcBorders>
            <w:shd w:val="clear" w:color="auto" w:fill="E0E0E0"/>
          </w:tcPr>
          <w:p w:rsidR="00A7137C" w:rsidRPr="00CC1FCA" w:rsidRDefault="00A7137C" w:rsidP="00C873F8">
            <w:pPr>
              <w:jc w:val="center"/>
              <w:rPr>
                <w:b/>
              </w:rPr>
            </w:pPr>
            <w:r w:rsidRPr="00CC1FCA">
              <w:rPr>
                <w:b/>
              </w:rPr>
              <w:t>Încărcătura raportată la volumul de activitate</w:t>
            </w:r>
          </w:p>
          <w:p w:rsidR="00A7137C" w:rsidRPr="00CC1FCA" w:rsidRDefault="00A7137C" w:rsidP="00C873F8">
            <w:pPr>
              <w:jc w:val="center"/>
              <w:rPr>
                <w:b/>
              </w:rPr>
            </w:pPr>
            <w:r w:rsidRPr="00CC1FCA">
              <w:rPr>
                <w:b/>
              </w:rPr>
              <w:t>2019</w:t>
            </w:r>
          </w:p>
        </w:tc>
        <w:tc>
          <w:tcPr>
            <w:tcW w:w="3039" w:type="dxa"/>
            <w:tcBorders>
              <w:bottom w:val="single" w:sz="4" w:space="0" w:color="auto"/>
            </w:tcBorders>
            <w:shd w:val="clear" w:color="auto" w:fill="E0E0E0"/>
          </w:tcPr>
          <w:p w:rsidR="00A7137C" w:rsidRPr="00CC1FCA" w:rsidRDefault="00A7137C" w:rsidP="00C873F8">
            <w:pPr>
              <w:jc w:val="center"/>
              <w:rPr>
                <w:b/>
              </w:rPr>
            </w:pPr>
            <w:r w:rsidRPr="00CC1FCA">
              <w:rPr>
                <w:b/>
              </w:rPr>
              <w:t>Încărcătura raportată la volumul de activitate</w:t>
            </w:r>
          </w:p>
          <w:p w:rsidR="00A7137C" w:rsidRPr="00CC1FCA" w:rsidRDefault="00A7137C" w:rsidP="00C873F8">
            <w:pPr>
              <w:jc w:val="center"/>
              <w:rPr>
                <w:b/>
              </w:rPr>
            </w:pPr>
            <w:r w:rsidRPr="00CC1FCA">
              <w:rPr>
                <w:b/>
              </w:rPr>
              <w:t>2020</w:t>
            </w:r>
          </w:p>
        </w:tc>
      </w:tr>
      <w:tr w:rsidR="00A7137C" w:rsidRPr="00CC1FCA" w:rsidTr="00C873F8">
        <w:tc>
          <w:tcPr>
            <w:tcW w:w="3039" w:type="dxa"/>
            <w:shd w:val="clear" w:color="auto" w:fill="F3F3F3"/>
          </w:tcPr>
          <w:p w:rsidR="00A7137C" w:rsidRPr="00CC1FCA" w:rsidRDefault="00A7137C" w:rsidP="00C873F8">
            <w:pPr>
              <w:jc w:val="center"/>
            </w:pPr>
            <w:r w:rsidRPr="00CC1FCA">
              <w:t>1056,8</w:t>
            </w:r>
          </w:p>
        </w:tc>
        <w:tc>
          <w:tcPr>
            <w:tcW w:w="3039" w:type="dxa"/>
            <w:shd w:val="clear" w:color="auto" w:fill="F3F3F3"/>
          </w:tcPr>
          <w:p w:rsidR="00A7137C" w:rsidRPr="00CC1FCA" w:rsidRDefault="00A7137C" w:rsidP="00C873F8">
            <w:pPr>
              <w:jc w:val="center"/>
            </w:pPr>
            <w:r w:rsidRPr="00CC1FCA">
              <w:t>1263,3</w:t>
            </w:r>
          </w:p>
        </w:tc>
        <w:tc>
          <w:tcPr>
            <w:tcW w:w="3039" w:type="dxa"/>
            <w:shd w:val="clear" w:color="auto" w:fill="F3F3F3"/>
          </w:tcPr>
          <w:p w:rsidR="00A7137C" w:rsidRPr="00CC1FCA" w:rsidRDefault="00A7137C" w:rsidP="00C873F8">
            <w:pPr>
              <w:jc w:val="center"/>
            </w:pPr>
            <w:r w:rsidRPr="00CC1FCA">
              <w:t>1434,7</w:t>
            </w:r>
          </w:p>
        </w:tc>
      </w:tr>
    </w:tbl>
    <w:p w:rsidR="00A7137C" w:rsidRDefault="00A7137C" w:rsidP="00A7137C">
      <w:pPr>
        <w:jc w:val="both"/>
      </w:pPr>
      <w:r w:rsidRPr="00CC1FCA">
        <w:tab/>
      </w:r>
    </w:p>
    <w:p w:rsidR="002D18BD" w:rsidRDefault="002D18BD" w:rsidP="00A7137C">
      <w:pPr>
        <w:jc w:val="both"/>
      </w:pPr>
    </w:p>
    <w:p w:rsidR="00A7137C" w:rsidRPr="00E66C85" w:rsidRDefault="008D7AF9" w:rsidP="00194A53">
      <w:pPr>
        <w:jc w:val="center"/>
        <w:rPr>
          <w:b/>
        </w:rPr>
      </w:pPr>
      <w:r>
        <w:rPr>
          <w:b/>
        </w:rPr>
        <w:t>I.</w:t>
      </w:r>
      <w:r w:rsidR="00A7137C" w:rsidRPr="00E66C85">
        <w:rPr>
          <w:b/>
        </w:rPr>
        <w:t>3. Indicatori de eficienţă</w:t>
      </w:r>
    </w:p>
    <w:p w:rsidR="00A7137C" w:rsidRPr="00E66C85" w:rsidRDefault="00A7137C" w:rsidP="00A7137C">
      <w:pPr>
        <w:jc w:val="both"/>
      </w:pPr>
      <w:r w:rsidRPr="00E66C85">
        <w:tab/>
      </w:r>
    </w:p>
    <w:p w:rsidR="00A7137C" w:rsidRPr="00E66C85" w:rsidRDefault="00A7137C" w:rsidP="00A7137C">
      <w:pPr>
        <w:ind w:firstLine="708"/>
        <w:jc w:val="both"/>
      </w:pPr>
      <w:r w:rsidRPr="00E66C85">
        <w:t xml:space="preserve">În anul 2020, indicatorul general de eficienţă al Judecătoriei Curtea de Argeş se încadrează în gradul de eficienţă „EFICIENT”.  </w:t>
      </w:r>
    </w:p>
    <w:p w:rsidR="00A7137C" w:rsidRDefault="00A7137C" w:rsidP="00A7137C">
      <w:pPr>
        <w:jc w:val="both"/>
        <w:rPr>
          <w:color w:val="FF0000"/>
        </w:rPr>
      </w:pPr>
    </w:p>
    <w:tbl>
      <w:tblPr>
        <w:tblW w:w="4582" w:type="pct"/>
        <w:jc w:val="center"/>
        <w:tblCellSpacing w:w="0" w:type="dxa"/>
        <w:tblCellMar>
          <w:left w:w="0" w:type="dxa"/>
          <w:right w:w="0" w:type="dxa"/>
        </w:tblCellMar>
        <w:tblLook w:val="04A0" w:firstRow="1" w:lastRow="0" w:firstColumn="1" w:lastColumn="0" w:noHBand="0" w:noVBand="1"/>
      </w:tblPr>
      <w:tblGrid>
        <w:gridCol w:w="2592"/>
        <w:gridCol w:w="972"/>
        <w:gridCol w:w="2311"/>
        <w:gridCol w:w="973"/>
        <w:gridCol w:w="973"/>
      </w:tblGrid>
      <w:tr w:rsidR="00A7137C" w:rsidTr="00C873F8">
        <w:trPr>
          <w:tblCellSpacing w:w="0" w:type="dxa"/>
          <w:jc w:val="center"/>
        </w:trPr>
        <w:tc>
          <w:tcPr>
            <w:tcW w:w="1674"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3326"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A7137C" w:rsidTr="00C873F8">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3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F</w:t>
            </w:r>
          </w:p>
        </w:tc>
        <w:tc>
          <w:tcPr>
            <w:tcW w:w="1412"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w:t>
            </w:r>
          </w:p>
        </w:tc>
        <w:tc>
          <w:tcPr>
            <w:tcW w:w="63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w:t>
            </w:r>
          </w:p>
        </w:tc>
        <w:tc>
          <w:tcPr>
            <w:tcW w:w="638"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w:t>
            </w:r>
          </w:p>
        </w:tc>
      </w:tr>
      <w:tr w:rsidR="00A7137C" w:rsidTr="00C873F8">
        <w:trPr>
          <w:tblCellSpacing w:w="0" w:type="dxa"/>
          <w:jc w:val="center"/>
        </w:trPr>
        <w:tc>
          <w:tcPr>
            <w:tcW w:w="167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63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27"/>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c>
          <w:tcPr>
            <w:tcW w:w="14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
              <w:gridCol w:w="444"/>
              <w:gridCol w:w="444"/>
              <w:gridCol w:w="444"/>
              <w:gridCol w:w="459"/>
            </w:tblGrid>
            <w:tr w:rsidR="00A7137C" w:rsidTr="00C873F8">
              <w:trPr>
                <w:tblCellSpacing w:w="15" w:type="dxa"/>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blCellSpacing w:w="15" w:type="dxa"/>
                <w:jc w:val="center"/>
              </w:trPr>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E01</w:t>
                  </w:r>
                </w:p>
              </w:tc>
              <w:tc>
                <w:tcPr>
                  <w:tcW w:w="1000" w:type="pct"/>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E02</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E03</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E04</w:t>
                  </w:r>
                </w:p>
              </w:tc>
              <w:tc>
                <w:tcPr>
                  <w:tcW w:w="10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E05</w:t>
                  </w:r>
                </w:p>
              </w:tc>
            </w:tr>
          </w:tbl>
          <w:p w:rsidR="00A7137C" w:rsidRDefault="00A7137C" w:rsidP="00C873F8">
            <w:pPr>
              <w:jc w:val="center"/>
              <w:rPr>
                <w:rFonts w:ascii="Cambria" w:hAnsi="Cambria"/>
                <w:color w:val="000000"/>
                <w:sz w:val="21"/>
                <w:szCs w:val="21"/>
              </w:rPr>
            </w:pPr>
          </w:p>
        </w:tc>
        <w:tc>
          <w:tcPr>
            <w:tcW w:w="63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28"/>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c>
          <w:tcPr>
            <w:tcW w:w="638"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43"/>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r>
    </w:tbl>
    <w:p w:rsidR="00A7137C" w:rsidRDefault="00A7137C" w:rsidP="00A7137C">
      <w:pPr>
        <w:jc w:val="both"/>
        <w:rPr>
          <w:color w:val="FF0000"/>
        </w:rPr>
      </w:pPr>
    </w:p>
    <w:p w:rsidR="00194A53" w:rsidRDefault="00194A53" w:rsidP="008D7AF9">
      <w:pPr>
        <w:jc w:val="both"/>
        <w:rPr>
          <w:b/>
          <w:u w:val="single"/>
        </w:rPr>
      </w:pPr>
    </w:p>
    <w:p w:rsidR="00A7137C" w:rsidRPr="00E66C85" w:rsidRDefault="00A7137C" w:rsidP="008D7AF9">
      <w:pPr>
        <w:jc w:val="both"/>
        <w:rPr>
          <w:b/>
          <w:u w:val="single"/>
        </w:rPr>
      </w:pPr>
      <w:r w:rsidRPr="00E66C85">
        <w:rPr>
          <w:b/>
          <w:u w:val="single"/>
        </w:rPr>
        <w:t xml:space="preserve">a. Rata de soluţionare  </w:t>
      </w:r>
    </w:p>
    <w:p w:rsidR="008D7AF9" w:rsidRDefault="008D7AF9" w:rsidP="00A7137C">
      <w:pPr>
        <w:ind w:firstLine="708"/>
        <w:jc w:val="both"/>
      </w:pPr>
    </w:p>
    <w:p w:rsidR="00A7137C" w:rsidRPr="00E66C85" w:rsidRDefault="00A7137C" w:rsidP="00A7137C">
      <w:pPr>
        <w:ind w:firstLine="708"/>
        <w:jc w:val="both"/>
      </w:pPr>
      <w:r w:rsidRPr="00E66C85">
        <w:t>În perioada de referinţă 01 ianuarie - 31 decembrie 20</w:t>
      </w:r>
      <w:r>
        <w:t xml:space="preserve">20 </w:t>
      </w:r>
      <w:r w:rsidRPr="00E66C85">
        <w:t xml:space="preserve">instanţa a înregistrat un număr de </w:t>
      </w:r>
      <w:r>
        <w:t xml:space="preserve">4932 </w:t>
      </w:r>
      <w:r w:rsidRPr="00E66C85">
        <w:t xml:space="preserve">dosare nou-intrate şi un număr de </w:t>
      </w:r>
      <w:r>
        <w:t xml:space="preserve">4701 </w:t>
      </w:r>
      <w:r w:rsidRPr="00E66C85">
        <w:t xml:space="preserve">dosare soluţionate, încadrându-se la acest indicator în gradul „EFICIENT”. </w:t>
      </w:r>
    </w:p>
    <w:p w:rsidR="00A7137C" w:rsidRDefault="00A7137C" w:rsidP="00A7137C">
      <w:pPr>
        <w:jc w:val="both"/>
        <w:rPr>
          <w:color w:val="FF0000"/>
        </w:rPr>
      </w:pPr>
    </w:p>
    <w:tbl>
      <w:tblPr>
        <w:tblW w:w="4640" w:type="pct"/>
        <w:tblCellSpacing w:w="0" w:type="dxa"/>
        <w:tblCellMar>
          <w:left w:w="0" w:type="dxa"/>
          <w:right w:w="0" w:type="dxa"/>
        </w:tblCellMar>
        <w:tblLook w:val="04A0" w:firstRow="1" w:lastRow="0" w:firstColumn="1" w:lastColumn="0" w:noHBand="0" w:noVBand="1"/>
      </w:tblPr>
      <w:tblGrid>
        <w:gridCol w:w="2047"/>
        <w:gridCol w:w="543"/>
        <w:gridCol w:w="973"/>
        <w:gridCol w:w="735"/>
        <w:gridCol w:w="543"/>
        <w:gridCol w:w="1088"/>
        <w:gridCol w:w="958"/>
        <w:gridCol w:w="405"/>
        <w:gridCol w:w="405"/>
        <w:gridCol w:w="436"/>
        <w:gridCol w:w="401"/>
      </w:tblGrid>
      <w:tr w:rsidR="008D7AF9" w:rsidTr="008D7AF9">
        <w:trPr>
          <w:tblCellSpacing w:w="0" w:type="dxa"/>
        </w:trPr>
        <w:tc>
          <w:tcPr>
            <w:tcW w:w="119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887"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STOC INITIAL</w:t>
            </w:r>
          </w:p>
        </w:tc>
        <w:tc>
          <w:tcPr>
            <w:tcW w:w="431"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INTRATE</w:t>
            </w:r>
          </w:p>
        </w:tc>
        <w:tc>
          <w:tcPr>
            <w:tcW w:w="956"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SOLUTIONATE</w:t>
            </w:r>
          </w:p>
        </w:tc>
        <w:tc>
          <w:tcPr>
            <w:tcW w:w="560"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969"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8D7AF9" w:rsidTr="008D7AF9">
        <w:trPr>
          <w:tblCellSpacing w:w="0" w:type="dxa"/>
        </w:trPr>
        <w:tc>
          <w:tcPr>
            <w:tcW w:w="0" w:type="auto"/>
            <w:vMerge/>
            <w:tcBorders>
              <w:bottom w:val="single" w:sz="6" w:space="0" w:color="FFFFFF"/>
              <w:right w:val="single" w:sz="6" w:space="0" w:color="FFFFFF"/>
            </w:tcBorders>
            <w:vAlign w:val="center"/>
            <w:hideMark/>
          </w:tcPr>
          <w:p w:rsidR="008D7AF9" w:rsidRDefault="008D7AF9" w:rsidP="00C873F8">
            <w:pPr>
              <w:rPr>
                <w:rFonts w:ascii="Tahoma" w:hAnsi="Tahoma" w:cs="Tahoma"/>
                <w:b/>
                <w:bCs/>
                <w:color w:val="000000"/>
                <w:sz w:val="17"/>
                <w:szCs w:val="17"/>
              </w:rPr>
            </w:pPr>
          </w:p>
        </w:tc>
        <w:tc>
          <w:tcPr>
            <w:tcW w:w="318"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56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RAPORTAT</w:t>
            </w:r>
            <w:r>
              <w:rPr>
                <w:rFonts w:ascii="Tahoma" w:hAnsi="Tahoma" w:cs="Tahoma"/>
                <w:b/>
                <w:bCs/>
                <w:color w:val="000000"/>
                <w:sz w:val="17"/>
                <w:szCs w:val="17"/>
              </w:rPr>
              <w:br/>
              <w:t>LA INTRATE</w:t>
            </w:r>
          </w:p>
        </w:tc>
        <w:tc>
          <w:tcPr>
            <w:tcW w:w="0" w:type="auto"/>
            <w:vMerge/>
            <w:tcBorders>
              <w:bottom w:val="single" w:sz="6" w:space="0" w:color="FFFFFF"/>
              <w:right w:val="single" w:sz="6" w:space="0" w:color="FFFFFF"/>
            </w:tcBorders>
            <w:vAlign w:val="center"/>
            <w:hideMark/>
          </w:tcPr>
          <w:p w:rsidR="008D7AF9" w:rsidRDefault="008D7AF9" w:rsidP="00C873F8">
            <w:pPr>
              <w:rPr>
                <w:rFonts w:ascii="Tahoma" w:hAnsi="Tahoma" w:cs="Tahoma"/>
                <w:b/>
                <w:bCs/>
                <w:color w:val="000000"/>
                <w:sz w:val="17"/>
                <w:szCs w:val="17"/>
              </w:rPr>
            </w:pPr>
          </w:p>
        </w:tc>
        <w:tc>
          <w:tcPr>
            <w:tcW w:w="31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637"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DIN INTRATE</w:t>
            </w:r>
          </w:p>
        </w:tc>
        <w:tc>
          <w:tcPr>
            <w:tcW w:w="0" w:type="auto"/>
            <w:vMerge/>
            <w:tcBorders>
              <w:bottom w:val="single" w:sz="6" w:space="0" w:color="FFFFFF"/>
              <w:right w:val="single" w:sz="6" w:space="0" w:color="FFFFFF"/>
            </w:tcBorders>
            <w:vAlign w:val="center"/>
            <w:hideMark/>
          </w:tcPr>
          <w:p w:rsidR="008D7AF9" w:rsidRDefault="008D7AF9" w:rsidP="00C873F8">
            <w:pPr>
              <w:rPr>
                <w:rFonts w:ascii="Tahoma" w:hAnsi="Tahoma" w:cs="Tahoma"/>
                <w:b/>
                <w:bCs/>
                <w:color w:val="000000"/>
                <w:sz w:val="17"/>
                <w:szCs w:val="17"/>
              </w:rPr>
            </w:pPr>
          </w:p>
        </w:tc>
        <w:tc>
          <w:tcPr>
            <w:tcW w:w="24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F</w:t>
            </w:r>
          </w:p>
        </w:tc>
        <w:tc>
          <w:tcPr>
            <w:tcW w:w="24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E</w:t>
            </w:r>
          </w:p>
        </w:tc>
        <w:tc>
          <w:tcPr>
            <w:tcW w:w="25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S</w:t>
            </w:r>
          </w:p>
        </w:tc>
        <w:tc>
          <w:tcPr>
            <w:tcW w:w="239" w:type="pct"/>
            <w:tcBorders>
              <w:bottom w:val="single" w:sz="6" w:space="0" w:color="FFFFFF"/>
            </w:tcBorders>
            <w:shd w:val="clear" w:color="auto" w:fill="DADADA"/>
            <w:noWrap/>
            <w:tcMar>
              <w:top w:w="15" w:type="dxa"/>
              <w:left w:w="15" w:type="dxa"/>
              <w:bottom w:w="15" w:type="dxa"/>
              <w:right w:w="15" w:type="dxa"/>
            </w:tcMar>
            <w:vAlign w:val="center"/>
            <w:hideMark/>
          </w:tcPr>
          <w:p w:rsidR="008D7AF9" w:rsidRDefault="008D7AF9" w:rsidP="00C873F8">
            <w:pPr>
              <w:jc w:val="center"/>
              <w:rPr>
                <w:rFonts w:ascii="Tahoma" w:hAnsi="Tahoma" w:cs="Tahoma"/>
                <w:b/>
                <w:bCs/>
                <w:color w:val="000000"/>
                <w:sz w:val="17"/>
                <w:szCs w:val="17"/>
              </w:rPr>
            </w:pPr>
            <w:r>
              <w:rPr>
                <w:rFonts w:ascii="Tahoma" w:hAnsi="Tahoma" w:cs="Tahoma"/>
                <w:b/>
                <w:bCs/>
                <w:color w:val="000000"/>
                <w:sz w:val="17"/>
                <w:szCs w:val="17"/>
              </w:rPr>
              <w:t>I</w:t>
            </w:r>
          </w:p>
        </w:tc>
      </w:tr>
      <w:tr w:rsidR="008D7AF9" w:rsidTr="008D7AF9">
        <w:trPr>
          <w:tblCellSpacing w:w="0" w:type="dxa"/>
        </w:trPr>
        <w:tc>
          <w:tcPr>
            <w:tcW w:w="119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rPr>
                <w:rFonts w:ascii="Cambria" w:hAnsi="Cambria"/>
                <w:color w:val="000000"/>
                <w:sz w:val="21"/>
                <w:szCs w:val="21"/>
              </w:rPr>
            </w:pPr>
            <w:r>
              <w:rPr>
                <w:rFonts w:ascii="Cambria" w:hAnsi="Cambria"/>
                <w:color w:val="000000"/>
                <w:sz w:val="21"/>
                <w:szCs w:val="21"/>
              </w:rPr>
              <w:t>Judecatoria CURTEA DE ARGES</w:t>
            </w:r>
          </w:p>
        </w:tc>
        <w:tc>
          <w:tcPr>
            <w:tcW w:w="31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0000"/>
                <w:sz w:val="21"/>
                <w:szCs w:val="21"/>
              </w:rPr>
            </w:pPr>
            <w:r>
              <w:rPr>
                <w:rFonts w:ascii="Cambria" w:hAnsi="Cambria"/>
                <w:color w:val="000000"/>
                <w:sz w:val="21"/>
                <w:szCs w:val="21"/>
              </w:rPr>
              <w:t>1524</w:t>
            </w:r>
          </w:p>
        </w:tc>
        <w:tc>
          <w:tcPr>
            <w:tcW w:w="56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00FF"/>
                <w:sz w:val="21"/>
                <w:szCs w:val="21"/>
              </w:rPr>
            </w:pPr>
            <w:r>
              <w:rPr>
                <w:rFonts w:ascii="Cambria" w:hAnsi="Cambria"/>
                <w:color w:val="0000FF"/>
                <w:sz w:val="21"/>
                <w:szCs w:val="21"/>
              </w:rPr>
              <w:t>30,9%</w:t>
            </w:r>
          </w:p>
        </w:tc>
        <w:tc>
          <w:tcPr>
            <w:tcW w:w="43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0000"/>
                <w:sz w:val="21"/>
                <w:szCs w:val="21"/>
              </w:rPr>
            </w:pPr>
            <w:r>
              <w:rPr>
                <w:rFonts w:ascii="Cambria" w:hAnsi="Cambria"/>
                <w:color w:val="000000"/>
                <w:sz w:val="21"/>
                <w:szCs w:val="21"/>
              </w:rPr>
              <w:t>4932</w:t>
            </w:r>
          </w:p>
        </w:tc>
        <w:tc>
          <w:tcPr>
            <w:tcW w:w="31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0000"/>
                <w:sz w:val="21"/>
                <w:szCs w:val="21"/>
              </w:rPr>
            </w:pPr>
            <w:r>
              <w:rPr>
                <w:rFonts w:ascii="Cambria" w:hAnsi="Cambria"/>
                <w:color w:val="000000"/>
                <w:sz w:val="21"/>
                <w:szCs w:val="21"/>
              </w:rPr>
              <w:t>4701</w:t>
            </w:r>
          </w:p>
        </w:tc>
        <w:tc>
          <w:tcPr>
            <w:tcW w:w="63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8000"/>
                <w:sz w:val="21"/>
                <w:szCs w:val="21"/>
              </w:rPr>
            </w:pPr>
            <w:r>
              <w:rPr>
                <w:rFonts w:ascii="Cambria" w:hAnsi="Cambria"/>
                <w:color w:val="008000"/>
                <w:sz w:val="21"/>
                <w:szCs w:val="21"/>
              </w:rPr>
              <w:t>73,6%</w:t>
            </w:r>
          </w:p>
        </w:tc>
        <w:tc>
          <w:tcPr>
            <w:tcW w:w="56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CC0000"/>
                <w:sz w:val="21"/>
                <w:szCs w:val="21"/>
              </w:rPr>
            </w:pPr>
            <w:r>
              <w:rPr>
                <w:rFonts w:ascii="Cambria" w:hAnsi="Cambria"/>
                <w:color w:val="CC0000"/>
                <w:sz w:val="21"/>
                <w:szCs w:val="21"/>
              </w:rPr>
              <w:t>95,3%</w:t>
            </w:r>
          </w:p>
        </w:tc>
        <w:tc>
          <w:tcPr>
            <w:tcW w:w="2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0000"/>
                <w:sz w:val="21"/>
                <w:szCs w:val="21"/>
              </w:rPr>
            </w:pPr>
            <w:r>
              <w:rPr>
                <w:rFonts w:ascii="Cambria" w:hAnsi="Cambria"/>
                <w:color w:val="000000"/>
                <w:sz w:val="21"/>
                <w:szCs w:val="21"/>
              </w:rPr>
              <w:t> </w:t>
            </w:r>
          </w:p>
        </w:tc>
        <w:tc>
          <w:tcPr>
            <w:tcW w:w="24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0000"/>
                <w:sz w:val="21"/>
                <w:szCs w:val="21"/>
              </w:rPr>
            </w:pPr>
            <w:r>
              <w:rPr>
                <w:rFonts w:ascii="Cambria" w:hAnsi="Cambria"/>
                <w:color w:val="000000"/>
                <w:sz w:val="21"/>
                <w:szCs w:val="21"/>
              </w:rPr>
              <w:t> </w:t>
            </w:r>
          </w:p>
        </w:tc>
        <w:tc>
          <w:tcPr>
            <w:tcW w:w="25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5"/>
            </w:tblGrid>
            <w:tr w:rsidR="008D7AF9" w:rsidTr="00C873F8">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8D7AF9" w:rsidRDefault="008D7AF9" w:rsidP="00C873F8">
                  <w:pPr>
                    <w:rPr>
                      <w:rFonts w:ascii="Cambria" w:hAnsi="Cambria"/>
                      <w:color w:val="000000"/>
                      <w:sz w:val="12"/>
                      <w:szCs w:val="12"/>
                    </w:rPr>
                  </w:pPr>
                  <w:r>
                    <w:rPr>
                      <w:rFonts w:ascii="Cambria" w:hAnsi="Cambria"/>
                      <w:color w:val="000000"/>
                      <w:sz w:val="12"/>
                      <w:szCs w:val="12"/>
                    </w:rPr>
                    <w:t> </w:t>
                  </w:r>
                </w:p>
              </w:tc>
            </w:tr>
          </w:tbl>
          <w:p w:rsidR="008D7AF9" w:rsidRDefault="008D7AF9" w:rsidP="00C873F8">
            <w:pPr>
              <w:jc w:val="center"/>
              <w:rPr>
                <w:rFonts w:ascii="Cambria" w:hAnsi="Cambria"/>
                <w:color w:val="000000"/>
                <w:sz w:val="21"/>
                <w:szCs w:val="21"/>
              </w:rPr>
            </w:pPr>
          </w:p>
        </w:tc>
        <w:tc>
          <w:tcPr>
            <w:tcW w:w="239" w:type="pct"/>
            <w:tcBorders>
              <w:bottom w:val="single" w:sz="6" w:space="0" w:color="FFFFFF"/>
            </w:tcBorders>
            <w:shd w:val="clear" w:color="auto" w:fill="F0F0F0"/>
            <w:tcMar>
              <w:top w:w="15" w:type="dxa"/>
              <w:left w:w="15" w:type="dxa"/>
              <w:bottom w:w="15" w:type="dxa"/>
              <w:right w:w="15" w:type="dxa"/>
            </w:tcMar>
            <w:vAlign w:val="center"/>
            <w:hideMark/>
          </w:tcPr>
          <w:p w:rsidR="008D7AF9" w:rsidRDefault="008D7AF9" w:rsidP="00C873F8">
            <w:pPr>
              <w:jc w:val="center"/>
              <w:rPr>
                <w:rFonts w:ascii="Cambria" w:hAnsi="Cambria"/>
                <w:color w:val="000000"/>
                <w:sz w:val="21"/>
                <w:szCs w:val="21"/>
              </w:rPr>
            </w:pPr>
            <w:r>
              <w:rPr>
                <w:rFonts w:ascii="Cambria" w:hAnsi="Cambria"/>
                <w:color w:val="000000"/>
                <w:sz w:val="21"/>
                <w:szCs w:val="21"/>
              </w:rPr>
              <w:t> </w:t>
            </w:r>
          </w:p>
        </w:tc>
      </w:tr>
    </w:tbl>
    <w:p w:rsidR="00A7137C" w:rsidRDefault="00A7137C" w:rsidP="00A7137C">
      <w:pPr>
        <w:jc w:val="both"/>
        <w:rPr>
          <w:color w:val="FF0000"/>
        </w:rPr>
      </w:pPr>
    </w:p>
    <w:p w:rsidR="00B35712" w:rsidRPr="007A3575" w:rsidRDefault="00B35712" w:rsidP="00B35712">
      <w:pPr>
        <w:ind w:firstLine="708"/>
        <w:jc w:val="both"/>
      </w:pPr>
      <w:r w:rsidRPr="007A3575">
        <w:t xml:space="preserve">Principala cauză care a generat obţinerea acestui indicator a fost suspendarea judecăţii, în majoritatea cauzelor, pe o durată de </w:t>
      </w:r>
      <w:r w:rsidR="008D7AF9">
        <w:t xml:space="preserve">două </w:t>
      </w:r>
      <w:r w:rsidRPr="007A3575">
        <w:t>luni în care a fost instituită, pe teritoriul României, starea de urgenţă.</w:t>
      </w:r>
    </w:p>
    <w:p w:rsidR="008D7AF9" w:rsidRDefault="008D7AF9" w:rsidP="00B35712">
      <w:pPr>
        <w:ind w:firstLine="708"/>
        <w:jc w:val="both"/>
      </w:pPr>
      <w:r>
        <w:t xml:space="preserve">La cele două </w:t>
      </w:r>
      <w:r w:rsidR="00B35712" w:rsidRPr="007A3575">
        <w:t xml:space="preserve">luni în care judecarea cauzelor a fost suspendată trebuie adăugată încă o lună, perioadă în care s-au efectuat procedurile de repunere pe rol și </w:t>
      </w:r>
      <w:r>
        <w:t xml:space="preserve">de îndeplinire a procedurilor de citare cu participanţii din respectivele dosare. </w:t>
      </w:r>
    </w:p>
    <w:p w:rsidR="008D7AF9" w:rsidRDefault="00B35712" w:rsidP="00B35712">
      <w:pPr>
        <w:ind w:firstLine="708"/>
        <w:jc w:val="both"/>
      </w:pPr>
      <w:r w:rsidRPr="007A3575">
        <w:t>În condiţiile în care durata vacanţei judecătoreşti a fost redusă la jumătate,</w:t>
      </w:r>
      <w:r w:rsidR="008D7AF9">
        <w:t xml:space="preserve"> putem să reţinem că activitatea instanţei a fost afectată pe o perioadă de două luni. </w:t>
      </w:r>
    </w:p>
    <w:p w:rsidR="00B35712" w:rsidRPr="007A3575" w:rsidRDefault="00086E34" w:rsidP="00B35712">
      <w:pPr>
        <w:ind w:firstLine="708"/>
        <w:jc w:val="both"/>
      </w:pPr>
      <w:r w:rsidRPr="007A3575">
        <w:t>L</w:t>
      </w:r>
      <w:r w:rsidR="00B35712" w:rsidRPr="007A3575">
        <w:t>a un calcul sumar</w:t>
      </w:r>
      <w:r w:rsidR="003C1F9F">
        <w:t>,</w:t>
      </w:r>
      <w:r w:rsidR="00B35712" w:rsidRPr="007A3575">
        <w:t xml:space="preserve"> constatăm că în acea lună ar fi putut fi soluţionate </w:t>
      </w:r>
      <w:r w:rsidR="003C1F9F">
        <w:t xml:space="preserve">încă </w:t>
      </w:r>
      <w:r w:rsidR="00B35712" w:rsidRPr="007A3575">
        <w:t xml:space="preserve">aproximativ </w:t>
      </w:r>
      <w:r w:rsidRPr="007A3575">
        <w:t xml:space="preserve">1050 </w:t>
      </w:r>
      <w:r w:rsidR="00B35712" w:rsidRPr="007A3575">
        <w:t>de dosare care, adăugate la cele 4701 soluţionate</w:t>
      </w:r>
      <w:r w:rsidR="003C1F9F">
        <w:t xml:space="preserve">, ar fi generat un total de </w:t>
      </w:r>
      <w:r w:rsidRPr="007A3575">
        <w:t xml:space="preserve">5750 </w:t>
      </w:r>
      <w:r w:rsidR="00B35712" w:rsidRPr="007A3575">
        <w:t>dosare</w:t>
      </w:r>
      <w:r w:rsidR="003C1F9F">
        <w:t xml:space="preserve"> soluţionate</w:t>
      </w:r>
      <w:r w:rsidR="00B35712" w:rsidRPr="007A3575">
        <w:t xml:space="preserve">. Continuând cu aceste calcule, </w:t>
      </w:r>
      <w:r w:rsidR="003C1F9F">
        <w:t xml:space="preserve">valoarea </w:t>
      </w:r>
      <w:r w:rsidR="00B35712" w:rsidRPr="007A3575">
        <w:t xml:space="preserve">indicatorului </w:t>
      </w:r>
      <w:r w:rsidR="003C1F9F">
        <w:t xml:space="preserve">ar fi fost de </w:t>
      </w:r>
      <w:r w:rsidR="00B35712" w:rsidRPr="007A3575">
        <w:t>peste 1</w:t>
      </w:r>
      <w:r w:rsidRPr="007A3575">
        <w:t>1</w:t>
      </w:r>
      <w:r w:rsidR="00B35712" w:rsidRPr="007A3575">
        <w:t xml:space="preserve">5%! </w:t>
      </w:r>
    </w:p>
    <w:p w:rsidR="007A3575" w:rsidRDefault="007A3575" w:rsidP="00A7137C">
      <w:pPr>
        <w:jc w:val="both"/>
        <w:rPr>
          <w:color w:val="FF0000"/>
        </w:rPr>
      </w:pPr>
      <w:r w:rsidRPr="007A3575">
        <w:tab/>
        <w:t xml:space="preserve">Altfel </w:t>
      </w:r>
      <w:r w:rsidR="003C1F9F">
        <w:t>s</w:t>
      </w:r>
      <w:r w:rsidRPr="007A3575">
        <w:t>pus, dacă situația epidemiologică nu ar fi impus suspendarea judecății cauzelor</w:t>
      </w:r>
      <w:r w:rsidR="003C1F9F">
        <w:t>,</w:t>
      </w:r>
      <w:r w:rsidRPr="007A3575">
        <w:t xml:space="preserve"> și la acest capitol instanța noastră ar fi obținut calificativul ”</w:t>
      </w:r>
      <w:r w:rsidR="003C1F9F">
        <w:t>F</w:t>
      </w:r>
      <w:r w:rsidRPr="007A3575">
        <w:t xml:space="preserve">oarte </w:t>
      </w:r>
      <w:r w:rsidR="003C1F9F">
        <w:t>eficient”,</w:t>
      </w:r>
      <w:r w:rsidR="00E620FB">
        <w:t xml:space="preserve"> fapt care ar fi condus şi la schimbarea în </w:t>
      </w:r>
      <w:r w:rsidR="00E620FB" w:rsidRPr="007A3575">
        <w:t>”</w:t>
      </w:r>
      <w:r w:rsidR="003C1F9F">
        <w:t>F</w:t>
      </w:r>
      <w:r w:rsidR="00E620FB" w:rsidRPr="007A3575">
        <w:t xml:space="preserve">oarte </w:t>
      </w:r>
      <w:r w:rsidR="003C1F9F">
        <w:t>eficient”</w:t>
      </w:r>
      <w:r w:rsidR="00E620FB">
        <w:t xml:space="preserve"> a </w:t>
      </w:r>
      <w:r w:rsidR="00042974">
        <w:t xml:space="preserve">indicatorului </w:t>
      </w:r>
      <w:r w:rsidR="00E620FB">
        <w:t>general</w:t>
      </w:r>
      <w:r w:rsidR="003C1F9F">
        <w:t xml:space="preserve"> de eficienţă</w:t>
      </w:r>
      <w:r w:rsidR="00E620FB">
        <w:t>.</w:t>
      </w:r>
    </w:p>
    <w:p w:rsidR="00A7137C" w:rsidRDefault="00A7137C" w:rsidP="00A7137C">
      <w:pPr>
        <w:jc w:val="both"/>
        <w:rPr>
          <w:color w:val="FF0000"/>
        </w:rPr>
      </w:pPr>
      <w:r w:rsidRPr="002F5F22">
        <w:rPr>
          <w:color w:val="FF0000"/>
        </w:rPr>
        <w:tab/>
      </w:r>
    </w:p>
    <w:p w:rsidR="00194A53" w:rsidRDefault="00194A53" w:rsidP="00A7137C">
      <w:pPr>
        <w:jc w:val="both"/>
        <w:rPr>
          <w:color w:val="FF0000"/>
        </w:rPr>
      </w:pPr>
    </w:p>
    <w:p w:rsidR="00194A53" w:rsidRPr="002F5F22" w:rsidRDefault="00194A53" w:rsidP="00A7137C">
      <w:pPr>
        <w:jc w:val="both"/>
        <w:rPr>
          <w:color w:val="FF0000"/>
        </w:rPr>
      </w:pPr>
    </w:p>
    <w:p w:rsidR="00A7137C" w:rsidRPr="00E66C85" w:rsidRDefault="00A7137C" w:rsidP="003C1F9F">
      <w:pPr>
        <w:jc w:val="both"/>
        <w:rPr>
          <w:b/>
          <w:u w:val="single"/>
        </w:rPr>
      </w:pPr>
      <w:r w:rsidRPr="00E66C85">
        <w:rPr>
          <w:b/>
          <w:u w:val="single"/>
        </w:rPr>
        <w:lastRenderedPageBreak/>
        <w:t xml:space="preserve">b. Vechime dosare în stoc  </w:t>
      </w:r>
    </w:p>
    <w:p w:rsidR="003C1F9F" w:rsidRDefault="003C1F9F" w:rsidP="00A7137C">
      <w:pPr>
        <w:ind w:firstLine="708"/>
        <w:jc w:val="both"/>
      </w:pPr>
    </w:p>
    <w:p w:rsidR="00A7137C" w:rsidRPr="00E66C85" w:rsidRDefault="00A7137C" w:rsidP="00A7137C">
      <w:pPr>
        <w:ind w:firstLine="708"/>
        <w:jc w:val="both"/>
      </w:pPr>
      <w:r w:rsidRPr="00E66C85">
        <w:t xml:space="preserve">La data de 31 decembrie 2020, din totalul de 1755 dosare aflate în stoc, un număr de 221 dosare, reprezentând un procent de 12,6 %, sunt mai vechi de un an şi şase luni. </w:t>
      </w:r>
    </w:p>
    <w:p w:rsidR="00A7137C" w:rsidRDefault="00A7137C" w:rsidP="00A7137C">
      <w:pPr>
        <w:ind w:firstLine="708"/>
        <w:jc w:val="both"/>
      </w:pPr>
      <w:r w:rsidRPr="00E66C85">
        <w:t xml:space="preserve">În consecinţă, la indicatorul de faţă, Judecătoria Curtea de Argeş s-a încadrat în gradul „SATISFĂCĂTOR”. </w:t>
      </w:r>
    </w:p>
    <w:p w:rsidR="007A3575" w:rsidRPr="007A3575" w:rsidRDefault="007A3575" w:rsidP="007A3575">
      <w:pPr>
        <w:ind w:firstLine="708"/>
        <w:jc w:val="both"/>
        <w:rPr>
          <w:color w:val="000000"/>
        </w:rPr>
      </w:pPr>
      <w:r w:rsidRPr="007A3575">
        <w:rPr>
          <w:color w:val="000000"/>
        </w:rPr>
        <w:t>Numărul</w:t>
      </w:r>
      <w:r w:rsidRPr="007A3575">
        <w:t xml:space="preserve"> </w:t>
      </w:r>
      <w:r w:rsidRPr="007A3575">
        <w:rPr>
          <w:color w:val="000000"/>
        </w:rPr>
        <w:t>redus de judecători care au funcţionat efectiv în această instanţă a condus la obţinerea unui rezultat nefavorabil în acest domeniu. Subliniem că, în cursul anului 2020, media de prezenţă a judecătorilor a fost de 4,5</w:t>
      </w:r>
      <w:r w:rsidR="003C1F9F">
        <w:rPr>
          <w:color w:val="000000"/>
        </w:rPr>
        <w:t>,</w:t>
      </w:r>
      <w:r w:rsidRPr="007A3575">
        <w:rPr>
          <w:color w:val="000000"/>
        </w:rPr>
        <w:t xml:space="preserve"> deşi schema prevede 7 locuri. </w:t>
      </w:r>
    </w:p>
    <w:p w:rsidR="007A3575" w:rsidRPr="007A3575" w:rsidRDefault="007A3575" w:rsidP="007A3575">
      <w:pPr>
        <w:ind w:firstLine="708"/>
        <w:jc w:val="both"/>
      </w:pPr>
      <w:r w:rsidRPr="007A3575">
        <w:rPr>
          <w:color w:val="000000"/>
        </w:rPr>
        <w:t>Altfel spus, în cursul anului 2020, schema de personal la nivelul judecătorilor</w:t>
      </w:r>
      <w:r w:rsidR="003C1F9F">
        <w:rPr>
          <w:color w:val="000000"/>
        </w:rPr>
        <w:t xml:space="preserve">, în ceea ce priveşte magistraţii, </w:t>
      </w:r>
      <w:r w:rsidRPr="007A3575">
        <w:rPr>
          <w:color w:val="000000"/>
        </w:rPr>
        <w:t xml:space="preserve">a fost acoperită în proporţie de </w:t>
      </w:r>
      <w:r w:rsidRPr="007A3575">
        <w:t>64%, iar acest fapt a condus la afectarea rezultatelor pe anumite paliere</w:t>
      </w:r>
      <w:r w:rsidR="003C1F9F">
        <w:t>.</w:t>
      </w:r>
    </w:p>
    <w:p w:rsidR="007A3575" w:rsidRDefault="00A7137C" w:rsidP="00A7137C">
      <w:pPr>
        <w:jc w:val="both"/>
      </w:pPr>
      <w:r w:rsidRPr="002F5F22">
        <w:rPr>
          <w:color w:val="FF0000"/>
        </w:rPr>
        <w:tab/>
      </w:r>
      <w:r w:rsidRPr="004C0510">
        <w:t xml:space="preserve">Indicatorul de eficienţă „Satisfăcător” este departe de a ne mulţumi, însă </w:t>
      </w:r>
      <w:r w:rsidR="007A3575" w:rsidRPr="004C0510">
        <w:t>avem speranțe că aceste rezultate negative vor fi îndreptate în momentul în care cel puțin o parte din locurile vacante vor fi ocupate.</w:t>
      </w:r>
    </w:p>
    <w:p w:rsidR="00E620FB" w:rsidRPr="004C0510" w:rsidRDefault="00E620FB" w:rsidP="00A7137C">
      <w:pPr>
        <w:jc w:val="both"/>
      </w:pPr>
    </w:p>
    <w:tbl>
      <w:tblPr>
        <w:tblW w:w="4582" w:type="pct"/>
        <w:jc w:val="center"/>
        <w:tblCellSpacing w:w="0" w:type="dxa"/>
        <w:tblCellMar>
          <w:left w:w="0" w:type="dxa"/>
          <w:right w:w="0" w:type="dxa"/>
        </w:tblCellMar>
        <w:tblLook w:val="04A0" w:firstRow="1" w:lastRow="0" w:firstColumn="1" w:lastColumn="0" w:noHBand="0" w:noVBand="1"/>
      </w:tblPr>
      <w:tblGrid>
        <w:gridCol w:w="3095"/>
        <w:gridCol w:w="598"/>
        <w:gridCol w:w="1274"/>
        <w:gridCol w:w="1058"/>
        <w:gridCol w:w="449"/>
        <w:gridCol w:w="449"/>
        <w:gridCol w:w="448"/>
        <w:gridCol w:w="450"/>
      </w:tblGrid>
      <w:tr w:rsidR="00A7137C" w:rsidTr="0085615F">
        <w:trPr>
          <w:tblCellSpacing w:w="0" w:type="dxa"/>
          <w:jc w:val="center"/>
        </w:trPr>
        <w:tc>
          <w:tcPr>
            <w:tcW w:w="210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1147"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DOSARE</w:t>
            </w:r>
          </w:p>
        </w:tc>
        <w:tc>
          <w:tcPr>
            <w:tcW w:w="64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101"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A7137C" w:rsidTr="0085615F">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67"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781"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MAI VECHI DE</w:t>
            </w:r>
            <w:r>
              <w:rPr>
                <w:rFonts w:ascii="Tahoma" w:hAnsi="Tahoma" w:cs="Tahoma"/>
                <w:b/>
                <w:bCs/>
                <w:color w:val="000000"/>
                <w:sz w:val="17"/>
                <w:szCs w:val="17"/>
              </w:rPr>
              <w:br/>
              <w:t>1,5 ANI</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27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F</w:t>
            </w:r>
          </w:p>
        </w:tc>
        <w:tc>
          <w:tcPr>
            <w:tcW w:w="27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w:t>
            </w:r>
          </w:p>
        </w:tc>
        <w:tc>
          <w:tcPr>
            <w:tcW w:w="27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w:t>
            </w:r>
          </w:p>
        </w:tc>
        <w:tc>
          <w:tcPr>
            <w:tcW w:w="276"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w:t>
            </w:r>
          </w:p>
        </w:tc>
      </w:tr>
      <w:tr w:rsidR="00A7137C" w:rsidTr="0085615F">
        <w:trPr>
          <w:tblCellSpacing w:w="0" w:type="dxa"/>
          <w:jc w:val="center"/>
        </w:trPr>
        <w:tc>
          <w:tcPr>
            <w:tcW w:w="210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36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1755</w:t>
            </w:r>
          </w:p>
        </w:tc>
        <w:tc>
          <w:tcPr>
            <w:tcW w:w="78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221</w:t>
            </w:r>
          </w:p>
        </w:tc>
        <w:tc>
          <w:tcPr>
            <w:tcW w:w="6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12,6%</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7"/>
            </w:tblGrid>
            <w:tr w:rsidR="00A7137C" w:rsidTr="00C873F8">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E36C09"/>
                  <w:vAlign w:val="center"/>
                  <w:hideMark/>
                </w:tcPr>
                <w:p w:rsidR="00A7137C" w:rsidRDefault="00A7137C" w:rsidP="00C873F8">
                  <w:pPr>
                    <w:rPr>
                      <w:rFonts w:ascii="Cambria" w:hAnsi="Cambria"/>
                      <w:color w:val="000000"/>
                      <w:sz w:val="12"/>
                      <w:szCs w:val="12"/>
                    </w:rPr>
                  </w:pPr>
                  <w:r>
                    <w:rPr>
                      <w:rFonts w:ascii="Cambria" w:hAnsi="Cambria"/>
                      <w:color w:val="000000"/>
                      <w:sz w:val="12"/>
                      <w:szCs w:val="12"/>
                    </w:rPr>
                    <w:t> </w:t>
                  </w:r>
                </w:p>
              </w:tc>
            </w:tr>
          </w:tbl>
          <w:p w:rsidR="00A7137C" w:rsidRDefault="00A7137C" w:rsidP="00C873F8">
            <w:pPr>
              <w:jc w:val="center"/>
              <w:rPr>
                <w:rFonts w:ascii="Cambria" w:hAnsi="Cambria"/>
                <w:color w:val="000000"/>
                <w:sz w:val="21"/>
                <w:szCs w:val="21"/>
              </w:rPr>
            </w:pPr>
          </w:p>
        </w:tc>
        <w:tc>
          <w:tcPr>
            <w:tcW w:w="276"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bl>
    <w:p w:rsidR="003C1F9F" w:rsidRPr="002F5F22" w:rsidRDefault="003C1F9F" w:rsidP="00A7137C">
      <w:pPr>
        <w:jc w:val="both"/>
        <w:rPr>
          <w:color w:val="FF0000"/>
        </w:rPr>
      </w:pPr>
    </w:p>
    <w:p w:rsidR="00A7137C" w:rsidRDefault="00A7137C" w:rsidP="00A7137C">
      <w:pPr>
        <w:ind w:firstLine="708"/>
        <w:jc w:val="both"/>
      </w:pPr>
      <w:r w:rsidRPr="00E66C85">
        <w:t>Vechimea dosarelor în stoc, pe materii, se prezintă astfel:</w:t>
      </w:r>
    </w:p>
    <w:p w:rsidR="003C1F9F" w:rsidRDefault="003C1F9F" w:rsidP="00A7137C">
      <w:pPr>
        <w:ind w:firstLine="708"/>
        <w:jc w:val="both"/>
      </w:pPr>
    </w:p>
    <w:tbl>
      <w:tblPr>
        <w:tblW w:w="4582" w:type="pct"/>
        <w:jc w:val="center"/>
        <w:tblCellSpacing w:w="0" w:type="dxa"/>
        <w:tblCellMar>
          <w:left w:w="0" w:type="dxa"/>
          <w:right w:w="0" w:type="dxa"/>
        </w:tblCellMar>
        <w:tblLook w:val="04A0" w:firstRow="1" w:lastRow="0" w:firstColumn="1" w:lastColumn="0" w:noHBand="0" w:noVBand="1"/>
      </w:tblPr>
      <w:tblGrid>
        <w:gridCol w:w="3095"/>
        <w:gridCol w:w="598"/>
        <w:gridCol w:w="1274"/>
        <w:gridCol w:w="1058"/>
        <w:gridCol w:w="449"/>
        <w:gridCol w:w="449"/>
        <w:gridCol w:w="448"/>
        <w:gridCol w:w="450"/>
      </w:tblGrid>
      <w:tr w:rsidR="00A7137C" w:rsidTr="009B4E75">
        <w:trPr>
          <w:tblCellSpacing w:w="0" w:type="dxa"/>
          <w:jc w:val="center"/>
        </w:trPr>
        <w:tc>
          <w:tcPr>
            <w:tcW w:w="210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MATERIE JURIDICA</w:t>
            </w:r>
          </w:p>
        </w:tc>
        <w:tc>
          <w:tcPr>
            <w:tcW w:w="1147"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STOC DOSARE</w:t>
            </w:r>
          </w:p>
        </w:tc>
        <w:tc>
          <w:tcPr>
            <w:tcW w:w="64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101"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A7137C" w:rsidTr="009B4E75">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67"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781"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MAI VECHI DE</w:t>
            </w:r>
            <w:r>
              <w:rPr>
                <w:rFonts w:ascii="Tahoma" w:hAnsi="Tahoma" w:cs="Tahoma"/>
                <w:b/>
                <w:bCs/>
                <w:color w:val="000000"/>
                <w:sz w:val="17"/>
                <w:szCs w:val="17"/>
              </w:rPr>
              <w:br/>
              <w:t>1 sau 1,5 ANI</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27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F</w:t>
            </w:r>
          </w:p>
        </w:tc>
        <w:tc>
          <w:tcPr>
            <w:tcW w:w="27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w:t>
            </w:r>
          </w:p>
        </w:tc>
        <w:tc>
          <w:tcPr>
            <w:tcW w:w="27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w:t>
            </w:r>
          </w:p>
        </w:tc>
        <w:tc>
          <w:tcPr>
            <w:tcW w:w="276"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w:t>
            </w:r>
          </w:p>
        </w:tc>
      </w:tr>
      <w:tr w:rsidR="00A7137C" w:rsidTr="009B4E75">
        <w:trPr>
          <w:tblCellSpacing w:w="0" w:type="dxa"/>
          <w:jc w:val="center"/>
        </w:trPr>
        <w:tc>
          <w:tcPr>
            <w:tcW w:w="210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Civil</w:t>
            </w:r>
          </w:p>
        </w:tc>
        <w:tc>
          <w:tcPr>
            <w:tcW w:w="36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1031</w:t>
            </w:r>
          </w:p>
        </w:tc>
        <w:tc>
          <w:tcPr>
            <w:tcW w:w="78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186</w:t>
            </w:r>
          </w:p>
        </w:tc>
        <w:tc>
          <w:tcPr>
            <w:tcW w:w="6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18,0%</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6"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4"/>
            </w:tblGrid>
            <w:tr w:rsidR="00A7137C" w:rsidTr="00C873F8">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00000"/>
                  <w:vAlign w:val="center"/>
                  <w:hideMark/>
                </w:tcPr>
                <w:p w:rsidR="00A7137C" w:rsidRDefault="00A7137C" w:rsidP="00C873F8">
                  <w:pPr>
                    <w:rPr>
                      <w:rFonts w:ascii="Cambria" w:hAnsi="Cambria"/>
                      <w:color w:val="000000"/>
                      <w:sz w:val="12"/>
                      <w:szCs w:val="12"/>
                    </w:rPr>
                  </w:pPr>
                  <w:r>
                    <w:rPr>
                      <w:rFonts w:ascii="Cambria" w:hAnsi="Cambria"/>
                      <w:color w:val="000000"/>
                      <w:sz w:val="12"/>
                      <w:szCs w:val="12"/>
                    </w:rPr>
                    <w:t> </w:t>
                  </w:r>
                </w:p>
              </w:tc>
            </w:tr>
          </w:tbl>
          <w:p w:rsidR="00A7137C" w:rsidRDefault="00A7137C" w:rsidP="00C873F8">
            <w:pPr>
              <w:jc w:val="center"/>
              <w:rPr>
                <w:rFonts w:ascii="Cambria" w:hAnsi="Cambria"/>
                <w:color w:val="000000"/>
                <w:sz w:val="21"/>
                <w:szCs w:val="21"/>
              </w:rPr>
            </w:pPr>
          </w:p>
        </w:tc>
      </w:tr>
      <w:tr w:rsidR="00A7137C" w:rsidTr="009B4E75">
        <w:trPr>
          <w:tblCellSpacing w:w="0" w:type="dxa"/>
          <w:jc w:val="center"/>
        </w:trPr>
        <w:tc>
          <w:tcPr>
            <w:tcW w:w="210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Litigii cu profesioniştii</w:t>
            </w:r>
          </w:p>
        </w:tc>
        <w:tc>
          <w:tcPr>
            <w:tcW w:w="36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165</w:t>
            </w:r>
          </w:p>
        </w:tc>
        <w:tc>
          <w:tcPr>
            <w:tcW w:w="781"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3</w:t>
            </w:r>
          </w:p>
        </w:tc>
        <w:tc>
          <w:tcPr>
            <w:tcW w:w="649"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1,8%</w:t>
            </w:r>
          </w:p>
        </w:tc>
        <w:tc>
          <w:tcPr>
            <w:tcW w:w="2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7137C" w:rsidTr="00C873F8">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rPr>
                      <w:rFonts w:ascii="Cambria" w:hAnsi="Cambria"/>
                      <w:color w:val="000000"/>
                      <w:sz w:val="12"/>
                      <w:szCs w:val="12"/>
                    </w:rPr>
                  </w:pPr>
                  <w:r>
                    <w:rPr>
                      <w:rFonts w:ascii="Cambria" w:hAnsi="Cambria"/>
                      <w:color w:val="000000"/>
                      <w:sz w:val="12"/>
                      <w:szCs w:val="12"/>
                    </w:rPr>
                    <w:t> </w:t>
                  </w:r>
                </w:p>
              </w:tc>
            </w:tr>
          </w:tbl>
          <w:p w:rsidR="00A7137C" w:rsidRDefault="00A7137C" w:rsidP="00C873F8">
            <w:pPr>
              <w:jc w:val="center"/>
              <w:rPr>
                <w:rFonts w:ascii="Cambria" w:hAnsi="Cambria"/>
                <w:color w:val="000000"/>
                <w:sz w:val="21"/>
                <w:szCs w:val="21"/>
              </w:rPr>
            </w:pPr>
          </w:p>
        </w:tc>
        <w:tc>
          <w:tcPr>
            <w:tcW w:w="2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6"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9B4E75">
        <w:trPr>
          <w:tblCellSpacing w:w="0" w:type="dxa"/>
          <w:jc w:val="center"/>
        </w:trPr>
        <w:tc>
          <w:tcPr>
            <w:tcW w:w="210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Minori şi familie</w:t>
            </w:r>
          </w:p>
        </w:tc>
        <w:tc>
          <w:tcPr>
            <w:tcW w:w="36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308</w:t>
            </w:r>
          </w:p>
        </w:tc>
        <w:tc>
          <w:tcPr>
            <w:tcW w:w="78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28</w:t>
            </w:r>
          </w:p>
        </w:tc>
        <w:tc>
          <w:tcPr>
            <w:tcW w:w="64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9,1%</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7137C" w:rsidTr="00C873F8">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7137C" w:rsidRDefault="00A7137C" w:rsidP="00C873F8">
                  <w:pPr>
                    <w:rPr>
                      <w:rFonts w:ascii="Cambria" w:hAnsi="Cambria"/>
                      <w:color w:val="000000"/>
                      <w:sz w:val="12"/>
                      <w:szCs w:val="12"/>
                    </w:rPr>
                  </w:pPr>
                  <w:r>
                    <w:rPr>
                      <w:rFonts w:ascii="Cambria" w:hAnsi="Cambria"/>
                      <w:color w:val="000000"/>
                      <w:sz w:val="12"/>
                      <w:szCs w:val="12"/>
                    </w:rPr>
                    <w:t> </w:t>
                  </w:r>
                </w:p>
              </w:tc>
            </w:tr>
          </w:tbl>
          <w:p w:rsidR="00A7137C" w:rsidRDefault="00A7137C" w:rsidP="00C873F8">
            <w:pPr>
              <w:jc w:val="center"/>
              <w:rPr>
                <w:rFonts w:ascii="Cambria" w:hAnsi="Cambria"/>
                <w:color w:val="000000"/>
                <w:sz w:val="21"/>
                <w:szCs w:val="21"/>
              </w:rPr>
            </w:pPr>
          </w:p>
        </w:tc>
        <w:tc>
          <w:tcPr>
            <w:tcW w:w="27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6"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9B4E75">
        <w:trPr>
          <w:tblCellSpacing w:w="0" w:type="dxa"/>
          <w:jc w:val="center"/>
        </w:trPr>
        <w:tc>
          <w:tcPr>
            <w:tcW w:w="2103"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Penal</w:t>
            </w:r>
          </w:p>
        </w:tc>
        <w:tc>
          <w:tcPr>
            <w:tcW w:w="367"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251</w:t>
            </w:r>
          </w:p>
        </w:tc>
        <w:tc>
          <w:tcPr>
            <w:tcW w:w="781"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4</w:t>
            </w:r>
          </w:p>
        </w:tc>
        <w:tc>
          <w:tcPr>
            <w:tcW w:w="649"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1,6%</w:t>
            </w:r>
          </w:p>
        </w:tc>
        <w:tc>
          <w:tcPr>
            <w:tcW w:w="2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7137C" w:rsidTr="00C873F8">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rPr>
                      <w:rFonts w:ascii="Cambria" w:hAnsi="Cambria"/>
                      <w:color w:val="000000"/>
                      <w:sz w:val="12"/>
                      <w:szCs w:val="12"/>
                    </w:rPr>
                  </w:pPr>
                  <w:r>
                    <w:rPr>
                      <w:rFonts w:ascii="Cambria" w:hAnsi="Cambria"/>
                      <w:color w:val="000000"/>
                      <w:sz w:val="12"/>
                      <w:szCs w:val="12"/>
                    </w:rPr>
                    <w:t> </w:t>
                  </w:r>
                </w:p>
              </w:tc>
            </w:tr>
          </w:tbl>
          <w:p w:rsidR="00A7137C" w:rsidRDefault="00A7137C" w:rsidP="00C873F8">
            <w:pPr>
              <w:jc w:val="center"/>
              <w:rPr>
                <w:rFonts w:ascii="Cambria" w:hAnsi="Cambria"/>
                <w:color w:val="000000"/>
                <w:sz w:val="21"/>
                <w:szCs w:val="21"/>
              </w:rPr>
            </w:pPr>
          </w:p>
        </w:tc>
        <w:tc>
          <w:tcPr>
            <w:tcW w:w="2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5" w:type="pct"/>
            <w:tcBorders>
              <w:bottom w:val="single" w:sz="6" w:space="0" w:color="FFFFFF"/>
              <w:right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6" w:type="pct"/>
            <w:tcBorders>
              <w:bottom w:val="single" w:sz="6" w:space="0" w:color="FFFFFF"/>
            </w:tcBorders>
            <w:shd w:val="clear" w:color="auto" w:fill="E2EBF3"/>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bl>
    <w:p w:rsidR="003C1F9F" w:rsidRDefault="009B4E75" w:rsidP="00A7137C">
      <w:pPr>
        <w:jc w:val="both"/>
      </w:pPr>
      <w:r>
        <w:tab/>
      </w:r>
    </w:p>
    <w:p w:rsidR="00A7137C" w:rsidRDefault="009B4E75" w:rsidP="003C1F9F">
      <w:pPr>
        <w:ind w:firstLine="720"/>
        <w:jc w:val="both"/>
      </w:pPr>
      <w:r>
        <w:t>Datele expuse anterior ne demonstrează că doar în materie civilă există o întârziere în soluţionarea cauzelor</w:t>
      </w:r>
      <w:r w:rsidR="003C1F9F">
        <w:t>,</w:t>
      </w:r>
      <w:r>
        <w:t xml:space="preserve"> problemă care este dictată</w:t>
      </w:r>
      <w:r w:rsidR="003C1F9F">
        <w:t>,</w:t>
      </w:r>
      <w:r>
        <w:t xml:space="preserve"> în general</w:t>
      </w:r>
      <w:r w:rsidR="003C1F9F">
        <w:t>,</w:t>
      </w:r>
      <w:r>
        <w:t xml:space="preserve"> de numărul redus de judecători care au acordat prioritate cauzelor penale şi a celor în materie de minori şi familie</w:t>
      </w:r>
      <w:r w:rsidR="003C1F9F">
        <w:t>,</w:t>
      </w:r>
      <w:r>
        <w:t xml:space="preserve"> unde interesul superior al minorului justifică astfel de măsuri.</w:t>
      </w:r>
    </w:p>
    <w:p w:rsidR="00A7137C" w:rsidRPr="00F50B7F" w:rsidRDefault="00A7137C" w:rsidP="00A7137C">
      <w:pPr>
        <w:ind w:firstLine="708"/>
        <w:jc w:val="both"/>
      </w:pPr>
    </w:p>
    <w:p w:rsidR="00A7137C" w:rsidRPr="00F50B7F" w:rsidRDefault="00A7137C" w:rsidP="00A7137C">
      <w:pPr>
        <w:jc w:val="both"/>
        <w:rPr>
          <w:b/>
          <w:u w:val="single"/>
        </w:rPr>
      </w:pPr>
      <w:r w:rsidRPr="00F50B7F">
        <w:t xml:space="preserve"> </w:t>
      </w:r>
      <w:r w:rsidRPr="00F50B7F">
        <w:rPr>
          <w:b/>
          <w:u w:val="single"/>
        </w:rPr>
        <w:t xml:space="preserve">c.  Ponderea dosarelor închise într-un an </w:t>
      </w:r>
    </w:p>
    <w:p w:rsidR="003C1F9F" w:rsidRDefault="003C1F9F" w:rsidP="00A7137C">
      <w:pPr>
        <w:ind w:firstLine="708"/>
        <w:jc w:val="both"/>
      </w:pPr>
    </w:p>
    <w:p w:rsidR="00A7137C" w:rsidRPr="00F50B7F" w:rsidRDefault="00A7137C" w:rsidP="00A7137C">
      <w:pPr>
        <w:ind w:firstLine="708"/>
        <w:jc w:val="both"/>
      </w:pPr>
      <w:r w:rsidRPr="00F50B7F">
        <w:t xml:space="preserve">În perioada 01 ianuarie - 31 decembrie 2020, din totalul de 4701 dosare soluţionate, un număr de 4456 dosare au fost soluţionate în termen de maxim un an de la înregistrare, reprezentând un procent de 94,8 %. </w:t>
      </w:r>
    </w:p>
    <w:p w:rsidR="00A7137C" w:rsidRPr="00F50B7F" w:rsidRDefault="00A7137C" w:rsidP="00A7137C">
      <w:pPr>
        <w:ind w:firstLine="708"/>
        <w:jc w:val="both"/>
      </w:pPr>
      <w:r w:rsidRPr="00F50B7F">
        <w:t xml:space="preserve">În consecinţă, la acest indicator, Judecătoria Curtea de Argeş s-a încadrat în gradul „FOARTE EFICIENT”. </w:t>
      </w:r>
    </w:p>
    <w:p w:rsidR="00A7137C" w:rsidRDefault="00A7137C" w:rsidP="00A7137C">
      <w:pPr>
        <w:jc w:val="both"/>
        <w:rPr>
          <w:color w:val="FF0000"/>
        </w:rPr>
      </w:pPr>
    </w:p>
    <w:tbl>
      <w:tblPr>
        <w:tblW w:w="4582" w:type="pct"/>
        <w:jc w:val="center"/>
        <w:tblCellSpacing w:w="0" w:type="dxa"/>
        <w:tblCellMar>
          <w:left w:w="0" w:type="dxa"/>
          <w:right w:w="0" w:type="dxa"/>
        </w:tblCellMar>
        <w:tblLook w:val="04A0" w:firstRow="1" w:lastRow="0" w:firstColumn="1" w:lastColumn="0" w:noHBand="0" w:noVBand="1"/>
      </w:tblPr>
      <w:tblGrid>
        <w:gridCol w:w="2876"/>
        <w:gridCol w:w="978"/>
        <w:gridCol w:w="1113"/>
        <w:gridCol w:w="1058"/>
        <w:gridCol w:w="449"/>
        <w:gridCol w:w="449"/>
        <w:gridCol w:w="448"/>
        <w:gridCol w:w="450"/>
      </w:tblGrid>
      <w:tr w:rsidR="00A7137C" w:rsidTr="00C873F8">
        <w:trPr>
          <w:tblCellSpacing w:w="0" w:type="dxa"/>
          <w:jc w:val="center"/>
        </w:trPr>
        <w:tc>
          <w:tcPr>
            <w:tcW w:w="195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1304"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64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VALOARE</w:t>
            </w:r>
            <w:r>
              <w:rPr>
                <w:rFonts w:ascii="Tahoma" w:hAnsi="Tahoma" w:cs="Tahoma"/>
                <w:b/>
                <w:bCs/>
                <w:color w:val="000000"/>
                <w:sz w:val="17"/>
                <w:szCs w:val="17"/>
              </w:rPr>
              <w:br/>
              <w:t>INDICATOR</w:t>
            </w:r>
          </w:p>
        </w:tc>
        <w:tc>
          <w:tcPr>
            <w:tcW w:w="1097"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A7137C" w:rsidTr="00C873F8">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624"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68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INTR-UN AN</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274"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F</w:t>
            </w:r>
          </w:p>
        </w:tc>
        <w:tc>
          <w:tcPr>
            <w:tcW w:w="274"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w:t>
            </w:r>
          </w:p>
        </w:tc>
        <w:tc>
          <w:tcPr>
            <w:tcW w:w="274"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w:t>
            </w:r>
          </w:p>
        </w:tc>
        <w:tc>
          <w:tcPr>
            <w:tcW w:w="274" w:type="pc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w:t>
            </w:r>
          </w:p>
        </w:tc>
      </w:tr>
      <w:tr w:rsidR="00A7137C" w:rsidTr="00C873F8">
        <w:trPr>
          <w:tblCellSpacing w:w="0" w:type="dxa"/>
          <w:jc w:val="center"/>
        </w:trPr>
        <w:tc>
          <w:tcPr>
            <w:tcW w:w="195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62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4701</w:t>
            </w:r>
          </w:p>
        </w:tc>
        <w:tc>
          <w:tcPr>
            <w:tcW w:w="68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4456</w:t>
            </w:r>
          </w:p>
        </w:tc>
        <w:tc>
          <w:tcPr>
            <w:tcW w:w="64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94,8%</w:t>
            </w:r>
          </w:p>
        </w:tc>
        <w:tc>
          <w:tcPr>
            <w:tcW w:w="27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7137C" w:rsidTr="00C873F8">
              <w:trPr>
                <w:tblCellSpacing w:w="15"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rPr>
                      <w:rFonts w:ascii="Cambria" w:hAnsi="Cambria"/>
                      <w:color w:val="000000"/>
                      <w:sz w:val="12"/>
                      <w:szCs w:val="12"/>
                    </w:rPr>
                  </w:pPr>
                  <w:r>
                    <w:rPr>
                      <w:rFonts w:ascii="Cambria" w:hAnsi="Cambria"/>
                      <w:color w:val="000000"/>
                      <w:sz w:val="12"/>
                      <w:szCs w:val="12"/>
                    </w:rPr>
                    <w:t> </w:t>
                  </w:r>
                </w:p>
              </w:tc>
            </w:tr>
          </w:tbl>
          <w:p w:rsidR="00A7137C" w:rsidRDefault="00A7137C" w:rsidP="00C873F8">
            <w:pPr>
              <w:jc w:val="center"/>
              <w:rPr>
                <w:rFonts w:ascii="Cambria" w:hAnsi="Cambria"/>
                <w:color w:val="000000"/>
                <w:sz w:val="21"/>
                <w:szCs w:val="21"/>
              </w:rPr>
            </w:pPr>
          </w:p>
        </w:tc>
        <w:tc>
          <w:tcPr>
            <w:tcW w:w="27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c>
          <w:tcPr>
            <w:tcW w:w="274" w:type="pct"/>
            <w:tcBorders>
              <w:bottom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bl>
    <w:p w:rsidR="003C1F9F" w:rsidRDefault="003C1F9F" w:rsidP="00A7137C">
      <w:pPr>
        <w:jc w:val="both"/>
        <w:rPr>
          <w:color w:val="FF0000"/>
        </w:rPr>
      </w:pPr>
    </w:p>
    <w:p w:rsidR="0047097B" w:rsidRDefault="0047097B" w:rsidP="003C1F9F">
      <w:pPr>
        <w:ind w:firstLine="708"/>
        <w:jc w:val="both"/>
        <w:rPr>
          <w:color w:val="FF0000"/>
        </w:rPr>
      </w:pPr>
      <w:r w:rsidRPr="00426147">
        <w:lastRenderedPageBreak/>
        <w:t>În condiţiile în care media de prezenţă a judecător</w:t>
      </w:r>
      <w:r w:rsidR="003C1F9F">
        <w:t>ilor este de 4,5 se constată că</w:t>
      </w:r>
      <w:r w:rsidRPr="00426147">
        <w:t xml:space="preserve"> doar din dosarele nou</w:t>
      </w:r>
      <w:r w:rsidR="003C1F9F">
        <w:t>-</w:t>
      </w:r>
      <w:r w:rsidRPr="00426147">
        <w:t xml:space="preserve">intrate, fiecare magistrat a soluţionat </w:t>
      </w:r>
      <w:r w:rsidR="003C1F9F">
        <w:t xml:space="preserve">circa </w:t>
      </w:r>
      <w:r w:rsidRPr="00426147">
        <w:t>1000 de cauze, rezultat</w:t>
      </w:r>
      <w:r w:rsidR="003C1F9F">
        <w:t xml:space="preserve"> pe care îl calificăm a fi unul </w:t>
      </w:r>
      <w:r w:rsidRPr="00426147">
        <w:t>remarcabil.</w:t>
      </w:r>
    </w:p>
    <w:p w:rsidR="0047097B" w:rsidRPr="002F5F22" w:rsidRDefault="0047097B" w:rsidP="00A7137C">
      <w:pPr>
        <w:jc w:val="both"/>
        <w:rPr>
          <w:color w:val="FF0000"/>
        </w:rPr>
      </w:pPr>
    </w:p>
    <w:p w:rsidR="00A7137C" w:rsidRPr="00F50B7F" w:rsidRDefault="00A7137C" w:rsidP="003C1F9F">
      <w:pPr>
        <w:jc w:val="both"/>
        <w:rPr>
          <w:b/>
          <w:u w:val="single"/>
        </w:rPr>
      </w:pPr>
      <w:r w:rsidRPr="00F50B7F">
        <w:rPr>
          <w:b/>
          <w:u w:val="single"/>
        </w:rPr>
        <w:t xml:space="preserve">d. Durata medie de soluţionare a dosarelor </w:t>
      </w:r>
    </w:p>
    <w:p w:rsidR="003C1F9F" w:rsidRDefault="003C1F9F" w:rsidP="00A7137C">
      <w:pPr>
        <w:ind w:firstLine="708"/>
        <w:jc w:val="both"/>
      </w:pPr>
    </w:p>
    <w:p w:rsidR="00A7137C" w:rsidRPr="00F50B7F" w:rsidRDefault="00A7137C" w:rsidP="00A7137C">
      <w:pPr>
        <w:ind w:firstLine="708"/>
        <w:jc w:val="both"/>
      </w:pPr>
      <w:r w:rsidRPr="00F50B7F">
        <w:t>Durata medie de soluţionare în materiile non-penal a fost de 3</w:t>
      </w:r>
      <w:r>
        <w:t>,8</w:t>
      </w:r>
      <w:r w:rsidRPr="00F50B7F">
        <w:t xml:space="preserve"> luni, iar în penal această durată a fost de 3,3 luni, instanţa încadrându-se în gradul „FOARTE EFICIENT”. </w:t>
      </w:r>
    </w:p>
    <w:p w:rsidR="00A7137C" w:rsidRDefault="00A7137C" w:rsidP="00A7137C">
      <w:pPr>
        <w:jc w:val="both"/>
        <w:rPr>
          <w:color w:val="FF0000"/>
        </w:rPr>
      </w:pPr>
    </w:p>
    <w:tbl>
      <w:tblPr>
        <w:tblW w:w="4595" w:type="pct"/>
        <w:jc w:val="center"/>
        <w:tblCellSpacing w:w="0" w:type="dxa"/>
        <w:tblCellMar>
          <w:left w:w="0" w:type="dxa"/>
          <w:right w:w="0" w:type="dxa"/>
        </w:tblCellMar>
        <w:tblLook w:val="04A0" w:firstRow="1" w:lastRow="0" w:firstColumn="1" w:lastColumn="0" w:noHBand="0" w:noVBand="1"/>
      </w:tblPr>
      <w:tblGrid>
        <w:gridCol w:w="2266"/>
        <w:gridCol w:w="598"/>
        <w:gridCol w:w="606"/>
        <w:gridCol w:w="1049"/>
        <w:gridCol w:w="861"/>
        <w:gridCol w:w="1203"/>
        <w:gridCol w:w="511"/>
        <w:gridCol w:w="433"/>
        <w:gridCol w:w="432"/>
        <w:gridCol w:w="435"/>
      </w:tblGrid>
      <w:tr w:rsidR="00A7137C" w:rsidTr="00C873F8">
        <w:trPr>
          <w:tblCellSpacing w:w="0" w:type="dxa"/>
          <w:jc w:val="center"/>
        </w:trPr>
        <w:tc>
          <w:tcPr>
            <w:tcW w:w="133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1333"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1220"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DURATA SOLUTIONARE</w:t>
            </w:r>
          </w:p>
        </w:tc>
        <w:tc>
          <w:tcPr>
            <w:tcW w:w="1109"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A7137C" w:rsidTr="00C873F8">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54"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979" w:type="pct"/>
            <w:gridSpan w:val="2"/>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DIN CARE</w:t>
            </w:r>
          </w:p>
        </w:tc>
        <w:tc>
          <w:tcPr>
            <w:tcW w:w="50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PENAL</w:t>
            </w:r>
          </w:p>
        </w:tc>
        <w:tc>
          <w:tcPr>
            <w:tcW w:w="712"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NON PENAL</w:t>
            </w:r>
          </w:p>
        </w:tc>
        <w:tc>
          <w:tcPr>
            <w:tcW w:w="306"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F</w:t>
            </w:r>
          </w:p>
        </w:tc>
        <w:tc>
          <w:tcPr>
            <w:tcW w:w="26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w:t>
            </w:r>
          </w:p>
        </w:tc>
        <w:tc>
          <w:tcPr>
            <w:tcW w:w="26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w:t>
            </w:r>
          </w:p>
        </w:tc>
        <w:tc>
          <w:tcPr>
            <w:tcW w:w="267"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w:t>
            </w:r>
          </w:p>
        </w:tc>
      </w:tr>
      <w:tr w:rsidR="00A7137C" w:rsidTr="00C873F8">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59"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PENAL</w:t>
            </w:r>
          </w:p>
        </w:tc>
        <w:tc>
          <w:tcPr>
            <w:tcW w:w="62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NON PENAL</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r>
      <w:tr w:rsidR="00A7137C" w:rsidTr="00C873F8">
        <w:trPr>
          <w:tblCellSpacing w:w="0" w:type="dxa"/>
          <w:jc w:val="center"/>
        </w:trPr>
        <w:tc>
          <w:tcPr>
            <w:tcW w:w="133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354"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4701</w:t>
            </w:r>
          </w:p>
        </w:tc>
        <w:tc>
          <w:tcPr>
            <w:tcW w:w="35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1023</w:t>
            </w:r>
          </w:p>
        </w:tc>
        <w:tc>
          <w:tcPr>
            <w:tcW w:w="62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3678</w:t>
            </w:r>
          </w:p>
        </w:tc>
        <w:tc>
          <w:tcPr>
            <w:tcW w:w="50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3,3</w:t>
            </w:r>
          </w:p>
        </w:tc>
        <w:tc>
          <w:tcPr>
            <w:tcW w:w="712"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3,8</w:t>
            </w:r>
          </w:p>
        </w:tc>
        <w:tc>
          <w:tcPr>
            <w:tcW w:w="306"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25"/>
              <w:gridCol w:w="225"/>
            </w:tblGrid>
            <w:tr w:rsidR="00A7137C" w:rsidTr="00C873F8">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17"/>
                      <w:szCs w:val="17"/>
                    </w:rPr>
                  </w:pPr>
                  <w:r>
                    <w:rPr>
                      <w:rFonts w:ascii="Cambria" w:hAnsi="Cambria"/>
                      <w:color w:val="000000"/>
                      <w:sz w:val="17"/>
                      <w:szCs w:val="17"/>
                    </w:rPr>
                    <w:t> </w:t>
                  </w:r>
                </w:p>
              </w:tc>
            </w:tr>
            <w:tr w:rsidR="00A7137C" w:rsidTr="00C873F8">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C</w:t>
                  </w:r>
                </w:p>
              </w:tc>
            </w:tr>
          </w:tbl>
          <w:p w:rsidR="00A7137C" w:rsidRDefault="00A7137C" w:rsidP="00C873F8">
            <w:pPr>
              <w:jc w:val="center"/>
              <w:rPr>
                <w:rFonts w:ascii="Cambria" w:hAnsi="Cambria"/>
                <w:color w:val="000000"/>
                <w:sz w:val="21"/>
                <w:szCs w:val="21"/>
              </w:rPr>
            </w:pPr>
          </w:p>
        </w:tc>
        <w:tc>
          <w:tcPr>
            <w:tcW w:w="26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8"/>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c>
          <w:tcPr>
            <w:tcW w:w="26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87"/>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c>
          <w:tcPr>
            <w:tcW w:w="267"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5"/>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r>
    </w:tbl>
    <w:p w:rsidR="00A7137C" w:rsidRDefault="00426147" w:rsidP="00A7137C">
      <w:pPr>
        <w:jc w:val="both"/>
        <w:rPr>
          <w:color w:val="FF0000"/>
        </w:rPr>
      </w:pPr>
      <w:r>
        <w:rPr>
          <w:color w:val="FF0000"/>
        </w:rPr>
        <w:tab/>
      </w:r>
    </w:p>
    <w:p w:rsidR="00A7137C" w:rsidRPr="00F50B7F" w:rsidRDefault="00A7137C" w:rsidP="003C1F9F">
      <w:pPr>
        <w:jc w:val="both"/>
        <w:rPr>
          <w:b/>
          <w:u w:val="single"/>
        </w:rPr>
      </w:pPr>
      <w:r w:rsidRPr="00F50B7F">
        <w:rPr>
          <w:b/>
          <w:u w:val="single"/>
        </w:rPr>
        <w:t xml:space="preserve">e. Ponderea hotărârilor redactate peste termenul legal </w:t>
      </w:r>
    </w:p>
    <w:p w:rsidR="003C1F9F" w:rsidRDefault="003C1F9F" w:rsidP="00A7137C">
      <w:pPr>
        <w:ind w:firstLine="708"/>
        <w:jc w:val="both"/>
      </w:pPr>
    </w:p>
    <w:p w:rsidR="00A7137C" w:rsidRDefault="00A7137C" w:rsidP="00194A53">
      <w:pPr>
        <w:ind w:firstLine="708"/>
        <w:jc w:val="both"/>
        <w:rPr>
          <w:color w:val="FF0000"/>
        </w:rPr>
      </w:pPr>
      <w:r w:rsidRPr="00F50B7F">
        <w:t xml:space="preserve">În perioada 01 ianuarie – 31 decembrie 2020, din totalul de 2279 dosare soluţionate, un număr de 312 dosare au fost redactate peste termenul legal, determinând încadrarea instanţei în gradul „FOARTE EFICIENT”. </w:t>
      </w:r>
    </w:p>
    <w:p w:rsidR="00071430" w:rsidRDefault="00071430" w:rsidP="00A7137C">
      <w:pPr>
        <w:jc w:val="both"/>
        <w:rPr>
          <w:color w:val="FF0000"/>
        </w:rPr>
      </w:pPr>
    </w:p>
    <w:tbl>
      <w:tblPr>
        <w:tblW w:w="4671" w:type="pct"/>
        <w:jc w:val="center"/>
        <w:tblCellSpacing w:w="0" w:type="dxa"/>
        <w:tblCellMar>
          <w:left w:w="0" w:type="dxa"/>
          <w:right w:w="0" w:type="dxa"/>
        </w:tblCellMar>
        <w:tblLook w:val="04A0" w:firstRow="1" w:lastRow="0" w:firstColumn="1" w:lastColumn="0" w:noHBand="0" w:noVBand="1"/>
      </w:tblPr>
      <w:tblGrid>
        <w:gridCol w:w="1829"/>
        <w:gridCol w:w="489"/>
        <w:gridCol w:w="660"/>
        <w:gridCol w:w="914"/>
        <w:gridCol w:w="1043"/>
        <w:gridCol w:w="1139"/>
        <w:gridCol w:w="876"/>
        <w:gridCol w:w="506"/>
        <w:gridCol w:w="362"/>
        <w:gridCol w:w="361"/>
        <w:gridCol w:w="355"/>
      </w:tblGrid>
      <w:tr w:rsidR="00A7137C" w:rsidTr="00C873F8">
        <w:trPr>
          <w:tblCellSpacing w:w="0" w:type="dxa"/>
          <w:jc w:val="center"/>
        </w:trPr>
        <w:tc>
          <w:tcPr>
            <w:tcW w:w="105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rPr>
                <w:rFonts w:ascii="Tahoma" w:hAnsi="Tahoma" w:cs="Tahoma"/>
                <w:b/>
                <w:bCs/>
                <w:color w:val="000000"/>
                <w:sz w:val="17"/>
                <w:szCs w:val="17"/>
              </w:rPr>
            </w:pPr>
            <w:r>
              <w:rPr>
                <w:rFonts w:ascii="Tahoma" w:hAnsi="Tahoma" w:cs="Tahoma"/>
                <w:b/>
                <w:bCs/>
                <w:color w:val="000000"/>
                <w:sz w:val="17"/>
                <w:szCs w:val="17"/>
              </w:rPr>
              <w:t>DENUMIRE JUDECATORIE</w:t>
            </w:r>
          </w:p>
        </w:tc>
        <w:tc>
          <w:tcPr>
            <w:tcW w:w="1800" w:type="pct"/>
            <w:gridSpan w:val="4"/>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DOSARE SOLUTIONATE</w:t>
            </w:r>
          </w:p>
        </w:tc>
        <w:tc>
          <w:tcPr>
            <w:tcW w:w="659"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TERMEN MEDIU</w:t>
            </w:r>
            <w:r>
              <w:rPr>
                <w:rFonts w:ascii="Tahoma" w:hAnsi="Tahoma" w:cs="Tahoma"/>
                <w:b/>
                <w:bCs/>
                <w:color w:val="000000"/>
                <w:sz w:val="17"/>
                <w:szCs w:val="17"/>
              </w:rPr>
              <w:br/>
              <w:t>REDACTARE</w:t>
            </w:r>
          </w:p>
        </w:tc>
        <w:tc>
          <w:tcPr>
            <w:tcW w:w="50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REDACTARE</w:t>
            </w:r>
          </w:p>
        </w:tc>
        <w:tc>
          <w:tcPr>
            <w:tcW w:w="976" w:type="pct"/>
            <w:gridSpan w:val="4"/>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GRAD DE EFICIENTA</w:t>
            </w:r>
          </w:p>
        </w:tc>
      </w:tr>
      <w:tr w:rsidR="00A7137C" w:rsidTr="00C873F8">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283"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TOTAL</w:t>
            </w:r>
          </w:p>
        </w:tc>
        <w:tc>
          <w:tcPr>
            <w:tcW w:w="1516" w:type="pct"/>
            <w:gridSpan w:val="3"/>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DIN CARE</w:t>
            </w:r>
            <w:r>
              <w:rPr>
                <w:rFonts w:ascii="Tahoma" w:hAnsi="Tahoma" w:cs="Tahoma"/>
                <w:b/>
                <w:bCs/>
                <w:color w:val="000000"/>
                <w:sz w:val="17"/>
                <w:szCs w:val="17"/>
              </w:rPr>
              <w:br/>
              <w:t>REDACTATE PESTE TERMENUL LEGAL</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298"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F</w:t>
            </w:r>
          </w:p>
        </w:tc>
        <w:tc>
          <w:tcPr>
            <w:tcW w:w="22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E</w:t>
            </w:r>
          </w:p>
        </w:tc>
        <w:tc>
          <w:tcPr>
            <w:tcW w:w="227" w:type="pct"/>
            <w:vMerge w:val="restar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S</w:t>
            </w:r>
          </w:p>
        </w:tc>
        <w:tc>
          <w:tcPr>
            <w:tcW w:w="225" w:type="pct"/>
            <w:vMerge w:val="restart"/>
            <w:tcBorders>
              <w:bottom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I</w:t>
            </w:r>
          </w:p>
        </w:tc>
      </w:tr>
      <w:tr w:rsidR="00A7137C" w:rsidTr="00C873F8">
        <w:trPr>
          <w:tblCellSpacing w:w="0" w:type="dxa"/>
          <w:jc w:val="center"/>
        </w:trPr>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381"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NUMAR</w:t>
            </w:r>
            <w:r>
              <w:rPr>
                <w:rFonts w:ascii="Tahoma" w:hAnsi="Tahoma" w:cs="Tahoma"/>
                <w:b/>
                <w:bCs/>
                <w:color w:val="000000"/>
                <w:sz w:val="17"/>
                <w:szCs w:val="17"/>
              </w:rPr>
              <w:br/>
              <w:t>DOSARE</w:t>
            </w:r>
          </w:p>
        </w:tc>
        <w:tc>
          <w:tcPr>
            <w:tcW w:w="530"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PONDERE</w:t>
            </w:r>
          </w:p>
        </w:tc>
        <w:tc>
          <w:tcPr>
            <w:tcW w:w="605" w:type="pct"/>
            <w:tcBorders>
              <w:bottom w:val="single" w:sz="6" w:space="0" w:color="FFFFFF"/>
              <w:right w:val="single" w:sz="6" w:space="0" w:color="FFFFFF"/>
            </w:tcBorders>
            <w:shd w:val="clear" w:color="auto" w:fill="DADADA"/>
            <w:noWrap/>
            <w:tcMar>
              <w:top w:w="15" w:type="dxa"/>
              <w:left w:w="15" w:type="dxa"/>
              <w:bottom w:w="15" w:type="dxa"/>
              <w:right w:w="15" w:type="dxa"/>
            </w:tcMar>
            <w:vAlign w:val="center"/>
            <w:hideMark/>
          </w:tcPr>
          <w:p w:rsidR="00A7137C" w:rsidRDefault="00A7137C" w:rsidP="00C873F8">
            <w:pPr>
              <w:jc w:val="center"/>
              <w:rPr>
                <w:rFonts w:ascii="Tahoma" w:hAnsi="Tahoma" w:cs="Tahoma"/>
                <w:b/>
                <w:bCs/>
                <w:color w:val="000000"/>
                <w:sz w:val="17"/>
                <w:szCs w:val="17"/>
              </w:rPr>
            </w:pPr>
            <w:r>
              <w:rPr>
                <w:rFonts w:ascii="Tahoma" w:hAnsi="Tahoma" w:cs="Tahoma"/>
                <w:b/>
                <w:bCs/>
                <w:color w:val="000000"/>
                <w:sz w:val="17"/>
                <w:szCs w:val="17"/>
              </w:rPr>
              <w:t>MEDIE ZILE</w:t>
            </w:r>
            <w:r>
              <w:rPr>
                <w:rFonts w:ascii="Tahoma" w:hAnsi="Tahoma" w:cs="Tahoma"/>
                <w:b/>
                <w:bCs/>
                <w:color w:val="000000"/>
                <w:sz w:val="17"/>
                <w:szCs w:val="17"/>
              </w:rPr>
              <w:br/>
              <w:t>DEPASIRE</w:t>
            </w: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right w:val="single" w:sz="6" w:space="0" w:color="FFFFFF"/>
            </w:tcBorders>
            <w:vAlign w:val="center"/>
            <w:hideMark/>
          </w:tcPr>
          <w:p w:rsidR="00A7137C" w:rsidRDefault="00A7137C" w:rsidP="00C873F8">
            <w:pPr>
              <w:rPr>
                <w:rFonts w:ascii="Tahoma" w:hAnsi="Tahoma" w:cs="Tahoma"/>
                <w:b/>
                <w:bCs/>
                <w:color w:val="000000"/>
                <w:sz w:val="17"/>
                <w:szCs w:val="17"/>
              </w:rPr>
            </w:pPr>
          </w:p>
        </w:tc>
        <w:tc>
          <w:tcPr>
            <w:tcW w:w="0" w:type="auto"/>
            <w:vMerge/>
            <w:tcBorders>
              <w:bottom w:val="single" w:sz="6" w:space="0" w:color="FFFFFF"/>
            </w:tcBorders>
            <w:vAlign w:val="center"/>
            <w:hideMark/>
          </w:tcPr>
          <w:p w:rsidR="00A7137C" w:rsidRDefault="00A7137C" w:rsidP="00C873F8">
            <w:pPr>
              <w:rPr>
                <w:rFonts w:ascii="Tahoma" w:hAnsi="Tahoma" w:cs="Tahoma"/>
                <w:b/>
                <w:bCs/>
                <w:color w:val="000000"/>
                <w:sz w:val="17"/>
                <w:szCs w:val="17"/>
              </w:rPr>
            </w:pPr>
          </w:p>
        </w:tc>
      </w:tr>
      <w:tr w:rsidR="00A7137C" w:rsidTr="00C873F8">
        <w:trPr>
          <w:tblCellSpacing w:w="0" w:type="dxa"/>
          <w:jc w:val="center"/>
        </w:trPr>
        <w:tc>
          <w:tcPr>
            <w:tcW w:w="105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rPr>
                <w:rFonts w:ascii="Cambria" w:hAnsi="Cambria"/>
                <w:color w:val="000000"/>
                <w:sz w:val="21"/>
                <w:szCs w:val="21"/>
              </w:rPr>
            </w:pPr>
            <w:r>
              <w:rPr>
                <w:rFonts w:ascii="Cambria" w:hAnsi="Cambria"/>
                <w:color w:val="000000"/>
                <w:sz w:val="21"/>
                <w:szCs w:val="21"/>
              </w:rPr>
              <w:t>Judecatoria CURTEA DE ARGES</w:t>
            </w:r>
          </w:p>
        </w:tc>
        <w:tc>
          <w:tcPr>
            <w:tcW w:w="283"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2279</w:t>
            </w:r>
          </w:p>
        </w:tc>
        <w:tc>
          <w:tcPr>
            <w:tcW w:w="381"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312</w:t>
            </w:r>
          </w:p>
        </w:tc>
        <w:tc>
          <w:tcPr>
            <w:tcW w:w="530"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CC0000"/>
                <w:sz w:val="21"/>
                <w:szCs w:val="21"/>
              </w:rPr>
            </w:pPr>
            <w:r>
              <w:rPr>
                <w:rFonts w:ascii="Cambria" w:hAnsi="Cambria"/>
                <w:color w:val="CC0000"/>
                <w:sz w:val="21"/>
                <w:szCs w:val="21"/>
              </w:rPr>
              <w:t>13,7%</w:t>
            </w:r>
          </w:p>
        </w:tc>
        <w:tc>
          <w:tcPr>
            <w:tcW w:w="605"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14,0</w:t>
            </w:r>
          </w:p>
        </w:tc>
        <w:tc>
          <w:tcPr>
            <w:tcW w:w="659"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8000"/>
                <w:sz w:val="21"/>
                <w:szCs w:val="21"/>
              </w:rPr>
            </w:pPr>
            <w:r>
              <w:rPr>
                <w:rFonts w:ascii="Cambria" w:hAnsi="Cambria"/>
                <w:color w:val="008000"/>
                <w:sz w:val="21"/>
                <w:szCs w:val="21"/>
              </w:rPr>
              <w:t>30,3</w:t>
            </w:r>
          </w:p>
        </w:tc>
        <w:tc>
          <w:tcPr>
            <w:tcW w:w="50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p w:rsidR="00A7137C" w:rsidRDefault="00A7137C" w:rsidP="00C873F8">
            <w:pPr>
              <w:jc w:val="center"/>
              <w:rPr>
                <w:rFonts w:ascii="Cambria" w:hAnsi="Cambria"/>
                <w:color w:val="0000FF"/>
                <w:sz w:val="21"/>
                <w:szCs w:val="21"/>
              </w:rPr>
            </w:pPr>
            <w:r>
              <w:rPr>
                <w:rFonts w:ascii="Cambria" w:hAnsi="Cambria"/>
                <w:color w:val="0000FF"/>
                <w:sz w:val="21"/>
                <w:szCs w:val="21"/>
              </w:rPr>
              <w:t>16,6</w:t>
            </w:r>
          </w:p>
        </w:tc>
        <w:tc>
          <w:tcPr>
            <w:tcW w:w="298"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02"/>
              <w:gridCol w:w="243"/>
            </w:tblGrid>
            <w:tr w:rsidR="00A7137C" w:rsidTr="00C873F8">
              <w:trPr>
                <w:tblCellSpacing w:w="15" w:type="dxa"/>
                <w:jc w:val="cent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12"/>
                      <w:szCs w:val="12"/>
                    </w:rPr>
                  </w:pPr>
                  <w:r>
                    <w:rPr>
                      <w:rFonts w:ascii="Cambria" w:hAnsi="Cambria"/>
                      <w:color w:val="000000"/>
                      <w:sz w:val="12"/>
                      <w:szCs w:val="12"/>
                    </w:rPr>
                    <w:t> </w:t>
                  </w:r>
                </w:p>
              </w:tc>
            </w:tr>
            <w:tr w:rsidR="00A7137C" w:rsidTr="00C873F8">
              <w:trPr>
                <w:tblCellSpacing w:w="15" w:type="dxa"/>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EE96C"/>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P</w:t>
                  </w:r>
                </w:p>
              </w:tc>
              <w:tc>
                <w:tcPr>
                  <w:tcW w:w="2500" w:type="pct"/>
                  <w:tcBorders>
                    <w:top w:val="single" w:sz="6" w:space="0" w:color="000000"/>
                    <w:left w:val="single" w:sz="6" w:space="0" w:color="000000"/>
                    <w:bottom w:val="single" w:sz="6" w:space="0" w:color="000000"/>
                    <w:right w:val="single" w:sz="6" w:space="0" w:color="000000"/>
                  </w:tcBorders>
                  <w:shd w:val="clear" w:color="auto" w:fill="6BB120"/>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M</w:t>
                  </w:r>
                </w:p>
              </w:tc>
            </w:tr>
          </w:tbl>
          <w:p w:rsidR="00A7137C" w:rsidRDefault="00A7137C" w:rsidP="00C873F8">
            <w:pPr>
              <w:jc w:val="center"/>
              <w:rPr>
                <w:rFonts w:ascii="Cambria" w:hAnsi="Cambria"/>
                <w:color w:val="000000"/>
                <w:sz w:val="21"/>
                <w:szCs w:val="21"/>
              </w:rPr>
            </w:pPr>
          </w:p>
        </w:tc>
        <w:tc>
          <w:tcPr>
            <w:tcW w:w="22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17"/>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c>
          <w:tcPr>
            <w:tcW w:w="227" w:type="pct"/>
            <w:tcBorders>
              <w:bottom w:val="single" w:sz="6" w:space="0" w:color="FFFFFF"/>
              <w:right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16"/>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c>
          <w:tcPr>
            <w:tcW w:w="225" w:type="pct"/>
            <w:tcBorders>
              <w:bottom w:val="single" w:sz="6" w:space="0" w:color="FFFFFF"/>
            </w:tcBorders>
            <w:shd w:val="clear" w:color="auto" w:fill="F0F0F0"/>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25"/>
            </w:tblGrid>
            <w:tr w:rsidR="00A7137C" w:rsidTr="00C873F8">
              <w:trPr>
                <w:trHeight w:val="458"/>
                <w:tblCellSpacing w:w="15" w:type="dxa"/>
                <w:jc w:val="center"/>
              </w:trPr>
              <w:tc>
                <w:tcPr>
                  <w:tcW w:w="0" w:type="auto"/>
                  <w:vMerge w:val="restart"/>
                  <w:tcBorders>
                    <w:top w:val="nil"/>
                    <w:left w:val="nil"/>
                    <w:bottom w:val="nil"/>
                    <w:right w:val="nil"/>
                  </w:tcBorders>
                  <w:shd w:val="clear" w:color="auto" w:fill="auto"/>
                  <w:vAlign w:val="center"/>
                  <w:hideMark/>
                </w:tcPr>
                <w:p w:rsidR="00A7137C" w:rsidRDefault="00A7137C" w:rsidP="00C873F8">
                  <w:pPr>
                    <w:jc w:val="center"/>
                    <w:rPr>
                      <w:rFonts w:ascii="Cambria" w:hAnsi="Cambria"/>
                      <w:color w:val="000000"/>
                      <w:sz w:val="21"/>
                      <w:szCs w:val="21"/>
                    </w:rPr>
                  </w:pPr>
                  <w:r>
                    <w:rPr>
                      <w:rFonts w:ascii="Cambria" w:hAnsi="Cambria"/>
                      <w:color w:val="000000"/>
                      <w:sz w:val="21"/>
                      <w:szCs w:val="21"/>
                    </w:rPr>
                    <w:t> </w:t>
                  </w:r>
                </w:p>
              </w:tc>
            </w:tr>
            <w:tr w:rsidR="00A7137C" w:rsidTr="00C873F8">
              <w:trPr>
                <w:trHeight w:val="458"/>
                <w:tblCellSpacing w:w="15" w:type="dxa"/>
                <w:jc w:val="center"/>
              </w:trPr>
              <w:tc>
                <w:tcPr>
                  <w:tcW w:w="0" w:type="auto"/>
                  <w:vMerge/>
                  <w:tcBorders>
                    <w:top w:val="nil"/>
                    <w:left w:val="nil"/>
                    <w:bottom w:val="nil"/>
                    <w:right w:val="nil"/>
                  </w:tcBorders>
                  <w:vAlign w:val="center"/>
                  <w:hideMark/>
                </w:tcPr>
                <w:p w:rsidR="00A7137C" w:rsidRDefault="00A7137C" w:rsidP="00C873F8">
                  <w:pPr>
                    <w:rPr>
                      <w:rFonts w:ascii="Cambria" w:hAnsi="Cambria"/>
                      <w:color w:val="000000"/>
                      <w:sz w:val="21"/>
                      <w:szCs w:val="21"/>
                    </w:rPr>
                  </w:pPr>
                </w:p>
              </w:tc>
            </w:tr>
          </w:tbl>
          <w:p w:rsidR="00A7137C" w:rsidRDefault="00A7137C" w:rsidP="00C873F8">
            <w:pPr>
              <w:jc w:val="center"/>
              <w:rPr>
                <w:rFonts w:ascii="Cambria" w:hAnsi="Cambria"/>
                <w:color w:val="000000"/>
                <w:sz w:val="21"/>
                <w:szCs w:val="21"/>
              </w:rPr>
            </w:pPr>
          </w:p>
        </w:tc>
      </w:tr>
    </w:tbl>
    <w:p w:rsidR="00A7137C" w:rsidRDefault="00A7137C" w:rsidP="00A7137C">
      <w:pPr>
        <w:pStyle w:val="NormalWeb"/>
        <w:shd w:val="clear" w:color="auto" w:fill="FFFFFF"/>
        <w:spacing w:before="0" w:beforeAutospacing="0" w:after="0" w:afterAutospacing="0"/>
        <w:jc w:val="both"/>
        <w:rPr>
          <w:color w:val="FF0000"/>
        </w:rPr>
      </w:pPr>
      <w:r w:rsidRPr="002F5F22">
        <w:rPr>
          <w:color w:val="FF0000"/>
        </w:rPr>
        <w:tab/>
        <w:t xml:space="preserve"> </w:t>
      </w:r>
    </w:p>
    <w:p w:rsidR="00071430" w:rsidRPr="002F5F22" w:rsidRDefault="00071430" w:rsidP="00A7137C">
      <w:pPr>
        <w:pStyle w:val="NormalWeb"/>
        <w:shd w:val="clear" w:color="auto" w:fill="FFFFFF"/>
        <w:spacing w:before="0" w:beforeAutospacing="0" w:after="0" w:afterAutospacing="0"/>
        <w:jc w:val="both"/>
        <w:rPr>
          <w:rStyle w:val="rvts3"/>
          <w:color w:val="FF0000"/>
          <w:bdr w:val="none" w:sz="0" w:space="0" w:color="auto" w:frame="1"/>
        </w:rPr>
      </w:pPr>
    </w:p>
    <w:p w:rsidR="00A7137C" w:rsidRDefault="003C1F9F" w:rsidP="00194A53">
      <w:pPr>
        <w:jc w:val="center"/>
        <w:rPr>
          <w:b/>
        </w:rPr>
      </w:pPr>
      <w:r>
        <w:rPr>
          <w:b/>
        </w:rPr>
        <w:t>I.</w:t>
      </w:r>
      <w:r w:rsidR="00A7137C" w:rsidRPr="00DE20BC">
        <w:rPr>
          <w:b/>
        </w:rPr>
        <w:t>4. Indicii de atacabilitate a hotărârilor judecătoreşti</w:t>
      </w:r>
    </w:p>
    <w:p w:rsidR="00071430" w:rsidRPr="00DE20BC" w:rsidRDefault="00071430" w:rsidP="00071430">
      <w:pPr>
        <w:jc w:val="center"/>
        <w:rPr>
          <w:b/>
        </w:rPr>
      </w:pPr>
    </w:p>
    <w:p w:rsidR="00A7137C" w:rsidRPr="00DE20BC" w:rsidRDefault="00A7137C" w:rsidP="00A7137C">
      <w:pPr>
        <w:ind w:firstLine="708"/>
        <w:jc w:val="both"/>
      </w:pPr>
      <w:r w:rsidRPr="00DE20BC">
        <w:t>Ponderea hotărârilor atacate din totalul hotărârilor pronunţate în cursul anului 2020</w:t>
      </w:r>
      <w:r w:rsidR="003C1F9F">
        <w:t>se prezintă astfel</w:t>
      </w:r>
      <w:r w:rsidRPr="00DE20BC">
        <w:t>:</w:t>
      </w:r>
    </w:p>
    <w:p w:rsidR="00A7137C" w:rsidRPr="00DE20BC" w:rsidRDefault="00A7137C" w:rsidP="00A7137C">
      <w:pPr>
        <w:ind w:firstLine="708"/>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897"/>
        <w:gridCol w:w="1744"/>
        <w:gridCol w:w="1768"/>
      </w:tblGrid>
      <w:tr w:rsidR="00A7137C" w:rsidRPr="00DE20BC" w:rsidTr="00C176F1">
        <w:trPr>
          <w:jc w:val="center"/>
        </w:trPr>
        <w:tc>
          <w:tcPr>
            <w:tcW w:w="2748" w:type="dxa"/>
            <w:tcBorders>
              <w:bottom w:val="single" w:sz="4" w:space="0" w:color="auto"/>
            </w:tcBorders>
            <w:shd w:val="clear" w:color="auto" w:fill="E0E0E0"/>
          </w:tcPr>
          <w:p w:rsidR="00A7137C" w:rsidRPr="00DE20BC" w:rsidRDefault="003C1F9F" w:rsidP="00C873F8">
            <w:pPr>
              <w:jc w:val="center"/>
            </w:pPr>
            <w:r>
              <w:t>Materia juridică</w:t>
            </w:r>
          </w:p>
        </w:tc>
        <w:tc>
          <w:tcPr>
            <w:tcW w:w="1897" w:type="dxa"/>
            <w:tcBorders>
              <w:bottom w:val="single" w:sz="4" w:space="0" w:color="auto"/>
            </w:tcBorders>
            <w:shd w:val="clear" w:color="auto" w:fill="E0E0E0"/>
          </w:tcPr>
          <w:p w:rsidR="00A7137C" w:rsidRPr="00DE20BC" w:rsidRDefault="00A7137C" w:rsidP="00C873F8">
            <w:pPr>
              <w:jc w:val="center"/>
            </w:pPr>
            <w:r w:rsidRPr="00DE20BC">
              <w:t xml:space="preserve">Hotărâri Pronunţate </w:t>
            </w:r>
          </w:p>
        </w:tc>
        <w:tc>
          <w:tcPr>
            <w:tcW w:w="1744" w:type="dxa"/>
            <w:tcBorders>
              <w:bottom w:val="single" w:sz="4" w:space="0" w:color="auto"/>
            </w:tcBorders>
            <w:shd w:val="clear" w:color="auto" w:fill="E0E0E0"/>
          </w:tcPr>
          <w:p w:rsidR="00A7137C" w:rsidRPr="00DE20BC" w:rsidRDefault="00A7137C" w:rsidP="00C873F8">
            <w:pPr>
              <w:jc w:val="center"/>
            </w:pPr>
            <w:r w:rsidRPr="00DE20BC">
              <w:t xml:space="preserve">Hotărâri Atacate </w:t>
            </w:r>
          </w:p>
        </w:tc>
        <w:tc>
          <w:tcPr>
            <w:tcW w:w="1768" w:type="dxa"/>
            <w:tcBorders>
              <w:bottom w:val="single" w:sz="4" w:space="0" w:color="auto"/>
            </w:tcBorders>
            <w:shd w:val="clear" w:color="auto" w:fill="E0E0E0"/>
          </w:tcPr>
          <w:p w:rsidR="00A7137C" w:rsidRPr="00DE20BC" w:rsidRDefault="00A7137C" w:rsidP="00C873F8">
            <w:pPr>
              <w:jc w:val="center"/>
            </w:pPr>
            <w:r w:rsidRPr="00DE20BC">
              <w:t xml:space="preserve">Procent Atacare </w:t>
            </w:r>
          </w:p>
        </w:tc>
      </w:tr>
      <w:tr w:rsidR="00A7137C" w:rsidRPr="00DE20BC" w:rsidTr="00C176F1">
        <w:trPr>
          <w:jc w:val="center"/>
        </w:trPr>
        <w:tc>
          <w:tcPr>
            <w:tcW w:w="2748" w:type="dxa"/>
            <w:shd w:val="clear" w:color="auto" w:fill="F3F3F3"/>
          </w:tcPr>
          <w:p w:rsidR="00A7137C" w:rsidRPr="00DE20BC" w:rsidRDefault="00A7137C" w:rsidP="00C873F8">
            <w:pPr>
              <w:jc w:val="both"/>
            </w:pPr>
            <w:r w:rsidRPr="00DE20BC">
              <w:t xml:space="preserve">PENAL </w:t>
            </w:r>
          </w:p>
        </w:tc>
        <w:tc>
          <w:tcPr>
            <w:tcW w:w="1897" w:type="dxa"/>
            <w:shd w:val="clear" w:color="auto" w:fill="F3F3F3"/>
          </w:tcPr>
          <w:p w:rsidR="00A7137C" w:rsidRPr="00DE20BC" w:rsidRDefault="00A7137C" w:rsidP="00C873F8">
            <w:pPr>
              <w:jc w:val="center"/>
            </w:pPr>
            <w:r w:rsidRPr="00DE20BC">
              <w:t>946</w:t>
            </w:r>
          </w:p>
        </w:tc>
        <w:tc>
          <w:tcPr>
            <w:tcW w:w="1744" w:type="dxa"/>
            <w:shd w:val="clear" w:color="auto" w:fill="F3F3F3"/>
          </w:tcPr>
          <w:p w:rsidR="00A7137C" w:rsidRPr="00DE20BC" w:rsidRDefault="00A7137C" w:rsidP="00C873F8">
            <w:pPr>
              <w:jc w:val="center"/>
            </w:pPr>
            <w:r>
              <w:t>132</w:t>
            </w:r>
          </w:p>
        </w:tc>
        <w:tc>
          <w:tcPr>
            <w:tcW w:w="1768" w:type="dxa"/>
            <w:shd w:val="clear" w:color="auto" w:fill="F3F3F3"/>
          </w:tcPr>
          <w:p w:rsidR="00A7137C" w:rsidRPr="00DE20BC" w:rsidRDefault="00A7137C" w:rsidP="00C873F8">
            <w:pPr>
              <w:jc w:val="center"/>
            </w:pPr>
            <w:r>
              <w:t xml:space="preserve">13,95 </w:t>
            </w:r>
            <w:r w:rsidRPr="00DE20BC">
              <w:t>%</w:t>
            </w:r>
          </w:p>
        </w:tc>
      </w:tr>
      <w:tr w:rsidR="00A7137C" w:rsidRPr="00DE20BC" w:rsidTr="00C176F1">
        <w:trPr>
          <w:jc w:val="center"/>
        </w:trPr>
        <w:tc>
          <w:tcPr>
            <w:tcW w:w="2748" w:type="dxa"/>
            <w:shd w:val="clear" w:color="auto" w:fill="F3F3F3"/>
          </w:tcPr>
          <w:p w:rsidR="00A7137C" w:rsidRPr="00DE20BC" w:rsidRDefault="00A7137C" w:rsidP="00C873F8">
            <w:pPr>
              <w:jc w:val="both"/>
            </w:pPr>
            <w:r w:rsidRPr="00DE20BC">
              <w:t>NON-PENAL</w:t>
            </w:r>
          </w:p>
        </w:tc>
        <w:tc>
          <w:tcPr>
            <w:tcW w:w="1897" w:type="dxa"/>
            <w:shd w:val="clear" w:color="auto" w:fill="F3F3F3"/>
          </w:tcPr>
          <w:p w:rsidR="00A7137C" w:rsidRPr="00DE20BC" w:rsidRDefault="00A7137C" w:rsidP="00C873F8">
            <w:pPr>
              <w:jc w:val="center"/>
            </w:pPr>
            <w:r w:rsidRPr="00DE20BC">
              <w:t>4118</w:t>
            </w:r>
          </w:p>
        </w:tc>
        <w:tc>
          <w:tcPr>
            <w:tcW w:w="1744" w:type="dxa"/>
            <w:shd w:val="clear" w:color="auto" w:fill="F3F3F3"/>
          </w:tcPr>
          <w:p w:rsidR="00A7137C" w:rsidRPr="00DE20BC" w:rsidRDefault="00A7137C" w:rsidP="00C873F8">
            <w:pPr>
              <w:jc w:val="center"/>
            </w:pPr>
            <w:r>
              <w:t>426</w:t>
            </w:r>
          </w:p>
        </w:tc>
        <w:tc>
          <w:tcPr>
            <w:tcW w:w="1768" w:type="dxa"/>
            <w:shd w:val="clear" w:color="auto" w:fill="F3F3F3"/>
          </w:tcPr>
          <w:p w:rsidR="00A7137C" w:rsidRPr="00DE20BC" w:rsidRDefault="00A7137C" w:rsidP="00C873F8">
            <w:pPr>
              <w:jc w:val="center"/>
            </w:pPr>
            <w:r>
              <w:t xml:space="preserve">10,34 </w:t>
            </w:r>
            <w:r w:rsidRPr="00DE20BC">
              <w:t>%</w:t>
            </w:r>
          </w:p>
        </w:tc>
      </w:tr>
    </w:tbl>
    <w:p w:rsidR="00A7137C" w:rsidRPr="002F5F22" w:rsidRDefault="00A7137C" w:rsidP="00A7137C">
      <w:pPr>
        <w:ind w:firstLine="720"/>
        <w:jc w:val="both"/>
        <w:rPr>
          <w:color w:val="FF0000"/>
        </w:rPr>
      </w:pPr>
    </w:p>
    <w:p w:rsidR="00A7137C" w:rsidRPr="0073335D" w:rsidRDefault="00A7137C" w:rsidP="00A7137C">
      <w:pPr>
        <w:ind w:firstLine="720"/>
        <w:jc w:val="both"/>
      </w:pPr>
      <w:r w:rsidRPr="0073335D">
        <w:t xml:space="preserve">Se constată că în materie penală aproximativ una din </w:t>
      </w:r>
      <w:r w:rsidR="00315FE6" w:rsidRPr="0073335D">
        <w:t xml:space="preserve">opt </w:t>
      </w:r>
      <w:r w:rsidRPr="0073335D">
        <w:t>hotărâri pronunţate de Judecătoria Curtea de Argeş este atacată. Procentul destul de ridicat al hotărârilor atacate are la bază următorii factori:</w:t>
      </w:r>
    </w:p>
    <w:p w:rsidR="00A7137C" w:rsidRPr="0073335D" w:rsidRDefault="00A7137C" w:rsidP="00A7137C">
      <w:pPr>
        <w:ind w:firstLine="708"/>
        <w:jc w:val="both"/>
        <w:rPr>
          <w:shd w:val="clear" w:color="auto" w:fill="FFFFFF"/>
        </w:rPr>
      </w:pPr>
      <w:r w:rsidRPr="0073335D">
        <w:t xml:space="preserve">Judecătoria Curtea de Argeş nu soluţionează cererile formulate de persoanele aflate în executarea unor pedepse privative de libertate, în baza Legii nr. 254/2013 şi </w:t>
      </w:r>
      <w:r w:rsidRPr="0073335D">
        <w:lastRenderedPageBreak/>
        <w:t xml:space="preserve">care sunt soluţionate de judecătorie în ultimă instanţă. Dimpotrivă, foarte multe </w:t>
      </w:r>
      <w:r w:rsidR="003C1F9F">
        <w:t xml:space="preserve">dintre </w:t>
      </w:r>
      <w:r w:rsidRPr="0073335D">
        <w:t>dosare</w:t>
      </w:r>
      <w:r w:rsidR="003C1F9F">
        <w:t>le</w:t>
      </w:r>
      <w:r w:rsidRPr="0073335D">
        <w:t xml:space="preserve"> în materie penală înregistrate pe rol au la bază sesizarea instanţei cu rechizitoriu. Aceste dosare suportă un grad ridicat de atacabilitate în condiţiile în care, în materie penală, operează principiul </w:t>
      </w:r>
      <w:r w:rsidRPr="0073335D">
        <w:rPr>
          <w:rStyle w:val="Accentuat"/>
          <w:bCs/>
          <w:i w:val="0"/>
          <w:iCs w:val="0"/>
          <w:shd w:val="clear" w:color="auto" w:fill="FFFFFF"/>
        </w:rPr>
        <w:t>neagravării situaţiei</w:t>
      </w:r>
      <w:r w:rsidRPr="0073335D">
        <w:rPr>
          <w:rStyle w:val="apple-converted-space"/>
          <w:shd w:val="clear" w:color="auto" w:fill="FFFFFF"/>
        </w:rPr>
        <w:t> </w:t>
      </w:r>
      <w:r w:rsidRPr="0073335D">
        <w:rPr>
          <w:shd w:val="clear" w:color="auto" w:fill="FFFFFF"/>
        </w:rPr>
        <w:t>în propria cale de atac şi care determină inculpaţii condamnaţi să promoveze calea de atac în speranţa obţinerii unei soluţii mai avantajoase.</w:t>
      </w:r>
    </w:p>
    <w:p w:rsidR="00A7137C" w:rsidRPr="0073335D" w:rsidRDefault="00A7137C" w:rsidP="00A7137C">
      <w:pPr>
        <w:ind w:firstLine="720"/>
        <w:jc w:val="both"/>
      </w:pPr>
      <w:r w:rsidRPr="0073335D">
        <w:t>De asemenea, au crescut semnificativ numărul dosarelor având ca obiect luarea măsurilor preventive şi verificarea periodică a acestora. Or, şi aceste dosare suportă un grad ridicat de atacabilitate (peste 90%).</w:t>
      </w:r>
    </w:p>
    <w:p w:rsidR="00A7137C" w:rsidRPr="0073335D" w:rsidRDefault="00A7137C" w:rsidP="00A7137C">
      <w:pPr>
        <w:ind w:firstLine="720"/>
        <w:jc w:val="both"/>
      </w:pPr>
      <w:r w:rsidRPr="0073335D">
        <w:t>Remarcăm şi faptul că programele de evidenţă informatizată nu evidenţiază distinct căile de atac promovate de părţi diferite împotriva aceleiaşi hotărâri. Astfel, dacă împotriva unei sentinţe penale se declară apel atât de către inculpat, cât şi de către persoana vătămată şi parchet, programul informatic evidenţiază exercitarea a trei căi de atac, deşi este atacată aceeaşi hotărâre. Aceste neajunsuri ale evidenţelor informatizate sunt de natură a conduce la o creştere artificială a procentului de atacare.</w:t>
      </w:r>
    </w:p>
    <w:p w:rsidR="00A7137C" w:rsidRPr="001D696F" w:rsidRDefault="00A7137C" w:rsidP="00A7137C">
      <w:pPr>
        <w:ind w:firstLine="720"/>
        <w:jc w:val="both"/>
      </w:pPr>
      <w:r w:rsidRPr="001D696F">
        <w:t>Însă, chiar şi în aceste situaţii remarcăm faptul că procentul de atacare a scăzut de la 35,50%, în anul 2018, la 19,45% în anul 2019 şi la 1</w:t>
      </w:r>
      <w:r w:rsidR="00DA4FA0">
        <w:t>3</w:t>
      </w:r>
      <w:r w:rsidRPr="001D696F">
        <w:t>,</w:t>
      </w:r>
      <w:r w:rsidR="00DA4FA0">
        <w:t>95</w:t>
      </w:r>
      <w:r w:rsidR="00EE55B5">
        <w:t>%</w:t>
      </w:r>
      <w:r w:rsidR="00DA4FA0">
        <w:t xml:space="preserve"> </w:t>
      </w:r>
      <w:r w:rsidRPr="001D696F">
        <w:t xml:space="preserve">în anul 2020. Această scădere demonstrează că încrederea justiţiabililor în actul de justiţie efectuat </w:t>
      </w:r>
      <w:r w:rsidR="00EE55B5">
        <w:t xml:space="preserve">la </w:t>
      </w:r>
      <w:r w:rsidRPr="001D696F">
        <w:t>Judecători</w:t>
      </w:r>
      <w:r w:rsidR="00EE55B5">
        <w:t xml:space="preserve">a </w:t>
      </w:r>
      <w:r w:rsidRPr="001D696F">
        <w:t>Curtea de Argeş a crescut semnificativ în ultim</w:t>
      </w:r>
      <w:r>
        <w:t>ii ani</w:t>
      </w:r>
      <w:r w:rsidRPr="001D696F">
        <w:t>.</w:t>
      </w:r>
    </w:p>
    <w:p w:rsidR="00A7137C" w:rsidRPr="001D696F" w:rsidRDefault="00A7137C" w:rsidP="00A7137C">
      <w:pPr>
        <w:ind w:firstLine="720"/>
        <w:jc w:val="both"/>
      </w:pPr>
      <w:r w:rsidRPr="001D696F">
        <w:t xml:space="preserve">În materiile non-penale, procentul de atacabilitate </w:t>
      </w:r>
      <w:r w:rsidR="00D24B8B">
        <w:t>este și în acest an în scădere</w:t>
      </w:r>
      <w:r>
        <w:t>, faţă de</w:t>
      </w:r>
      <w:r w:rsidR="00EE55B5">
        <w:t xml:space="preserve"> cel obţinut în </w:t>
      </w:r>
      <w:r>
        <w:t>anul 2019</w:t>
      </w:r>
      <w:r w:rsidR="00EE55B5">
        <w:t>,</w:t>
      </w:r>
      <w:r>
        <w:t xml:space="preserve"> când s-a înregistrat un indice de </w:t>
      </w:r>
      <w:r w:rsidR="00153A5A">
        <w:t xml:space="preserve">atacabilitate de </w:t>
      </w:r>
      <w:r>
        <w:t>13,72%</w:t>
      </w:r>
      <w:r w:rsidRPr="001D696F">
        <w:t>.</w:t>
      </w:r>
      <w:r w:rsidR="00E4168C">
        <w:t xml:space="preserve"> În aceste condiții ne propunem ca în anul viitor acest indice să coboare sub valoarea de 10%.</w:t>
      </w:r>
    </w:p>
    <w:p w:rsidR="0073335D" w:rsidRPr="002F5F22" w:rsidRDefault="0073335D" w:rsidP="00A7137C">
      <w:pPr>
        <w:jc w:val="both"/>
        <w:rPr>
          <w:color w:val="FF0000"/>
          <w:sz w:val="32"/>
          <w:szCs w:val="32"/>
        </w:rPr>
      </w:pPr>
    </w:p>
    <w:p w:rsidR="00A7137C" w:rsidRPr="00EE55B5" w:rsidRDefault="00EE55B5" w:rsidP="00194A53">
      <w:pPr>
        <w:jc w:val="center"/>
        <w:rPr>
          <w:b/>
        </w:rPr>
      </w:pPr>
      <w:r>
        <w:rPr>
          <w:b/>
        </w:rPr>
        <w:t>I.</w:t>
      </w:r>
      <w:r w:rsidR="00A7137C" w:rsidRPr="00EE55B5">
        <w:rPr>
          <w:b/>
        </w:rPr>
        <w:t>5. Indicii de desfiinţare a hotărârilor judecătoreşti</w:t>
      </w:r>
    </w:p>
    <w:p w:rsidR="00A7137C" w:rsidRPr="00721795" w:rsidRDefault="00A7137C" w:rsidP="00A7137C">
      <w:pPr>
        <w:ind w:firstLine="708"/>
        <w:jc w:val="both"/>
      </w:pPr>
    </w:p>
    <w:p w:rsidR="00A7137C" w:rsidRPr="00EE55B5" w:rsidRDefault="00A7137C" w:rsidP="00A7137C">
      <w:pPr>
        <w:ind w:firstLine="708"/>
        <w:jc w:val="both"/>
      </w:pPr>
      <w:r w:rsidRPr="00EE55B5">
        <w:t>Indicele de desfiinţare al hotărârilor atacate</w:t>
      </w:r>
      <w:r w:rsidR="00EE55B5">
        <w:t xml:space="preserve"> în anul 2020 se prezintă astfel</w:t>
      </w:r>
      <w:r w:rsidRPr="00EE55B5">
        <w:t>:</w:t>
      </w:r>
    </w:p>
    <w:p w:rsidR="00EE55B5" w:rsidRPr="00721795" w:rsidRDefault="00EE55B5" w:rsidP="00A7137C">
      <w:pPr>
        <w:ind w:firstLine="708"/>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1897"/>
        <w:gridCol w:w="1744"/>
        <w:gridCol w:w="1768"/>
      </w:tblGrid>
      <w:tr w:rsidR="00A7137C" w:rsidRPr="00721795" w:rsidTr="00C873F8">
        <w:trPr>
          <w:jc w:val="center"/>
        </w:trPr>
        <w:tc>
          <w:tcPr>
            <w:tcW w:w="2043" w:type="dxa"/>
            <w:tcBorders>
              <w:bottom w:val="single" w:sz="4" w:space="0" w:color="auto"/>
            </w:tcBorders>
            <w:shd w:val="clear" w:color="auto" w:fill="E0E0E0"/>
          </w:tcPr>
          <w:p w:rsidR="00A7137C" w:rsidRPr="00721795" w:rsidRDefault="00A7137C" w:rsidP="00C873F8">
            <w:pPr>
              <w:jc w:val="center"/>
              <w:rPr>
                <w:b/>
              </w:rPr>
            </w:pPr>
          </w:p>
        </w:tc>
        <w:tc>
          <w:tcPr>
            <w:tcW w:w="1897" w:type="dxa"/>
            <w:tcBorders>
              <w:bottom w:val="single" w:sz="4" w:space="0" w:color="auto"/>
            </w:tcBorders>
            <w:shd w:val="clear" w:color="auto" w:fill="E0E0E0"/>
          </w:tcPr>
          <w:p w:rsidR="00A7137C" w:rsidRPr="00721795" w:rsidRDefault="00A7137C" w:rsidP="00C873F8">
            <w:pPr>
              <w:jc w:val="center"/>
              <w:rPr>
                <w:b/>
              </w:rPr>
            </w:pPr>
            <w:r w:rsidRPr="00721795">
              <w:rPr>
                <w:b/>
              </w:rPr>
              <w:t xml:space="preserve">HOTĂRÂRI PRONUNŢATE </w:t>
            </w:r>
          </w:p>
        </w:tc>
        <w:tc>
          <w:tcPr>
            <w:tcW w:w="1744" w:type="dxa"/>
            <w:tcBorders>
              <w:bottom w:val="single" w:sz="4" w:space="0" w:color="auto"/>
            </w:tcBorders>
            <w:shd w:val="clear" w:color="auto" w:fill="E0E0E0"/>
          </w:tcPr>
          <w:p w:rsidR="00A7137C" w:rsidRPr="00721795" w:rsidRDefault="00A7137C" w:rsidP="00C873F8">
            <w:pPr>
              <w:jc w:val="center"/>
              <w:rPr>
                <w:b/>
              </w:rPr>
            </w:pPr>
            <w:r w:rsidRPr="00721795">
              <w:rPr>
                <w:b/>
              </w:rPr>
              <w:t>HOTĂRÂRI CASATE</w:t>
            </w:r>
          </w:p>
        </w:tc>
        <w:tc>
          <w:tcPr>
            <w:tcW w:w="1768" w:type="dxa"/>
            <w:tcBorders>
              <w:bottom w:val="single" w:sz="4" w:space="0" w:color="auto"/>
            </w:tcBorders>
            <w:shd w:val="clear" w:color="auto" w:fill="E0E0E0"/>
          </w:tcPr>
          <w:p w:rsidR="00A7137C" w:rsidRPr="00721795" w:rsidRDefault="00A7137C" w:rsidP="00C873F8">
            <w:pPr>
              <w:jc w:val="center"/>
              <w:rPr>
                <w:b/>
              </w:rPr>
            </w:pPr>
            <w:r w:rsidRPr="00721795">
              <w:rPr>
                <w:b/>
              </w:rPr>
              <w:t>INDICE DE CASARE</w:t>
            </w:r>
          </w:p>
        </w:tc>
      </w:tr>
      <w:tr w:rsidR="00A7137C" w:rsidRPr="00721795" w:rsidTr="00C873F8">
        <w:trPr>
          <w:jc w:val="center"/>
        </w:trPr>
        <w:tc>
          <w:tcPr>
            <w:tcW w:w="2043" w:type="dxa"/>
            <w:shd w:val="clear" w:color="auto" w:fill="F3F3F3"/>
          </w:tcPr>
          <w:p w:rsidR="00A7137C" w:rsidRPr="00721795" w:rsidRDefault="00A7137C" w:rsidP="00C873F8">
            <w:pPr>
              <w:jc w:val="both"/>
            </w:pPr>
            <w:r w:rsidRPr="00721795">
              <w:t xml:space="preserve">PENAL </w:t>
            </w:r>
          </w:p>
        </w:tc>
        <w:tc>
          <w:tcPr>
            <w:tcW w:w="1897" w:type="dxa"/>
            <w:shd w:val="clear" w:color="auto" w:fill="F3F3F3"/>
          </w:tcPr>
          <w:p w:rsidR="00A7137C" w:rsidRPr="00DE20BC" w:rsidRDefault="00A7137C" w:rsidP="00C873F8">
            <w:pPr>
              <w:jc w:val="center"/>
            </w:pPr>
            <w:r w:rsidRPr="00DE20BC">
              <w:t>946</w:t>
            </w:r>
          </w:p>
        </w:tc>
        <w:tc>
          <w:tcPr>
            <w:tcW w:w="1744" w:type="dxa"/>
            <w:shd w:val="clear" w:color="auto" w:fill="F3F3F3"/>
          </w:tcPr>
          <w:p w:rsidR="00A7137C" w:rsidRPr="00721795" w:rsidRDefault="00A7137C" w:rsidP="00C873F8">
            <w:pPr>
              <w:jc w:val="center"/>
            </w:pPr>
            <w:r>
              <w:t>33</w:t>
            </w:r>
          </w:p>
        </w:tc>
        <w:tc>
          <w:tcPr>
            <w:tcW w:w="1768" w:type="dxa"/>
            <w:shd w:val="clear" w:color="auto" w:fill="F3F3F3"/>
          </w:tcPr>
          <w:p w:rsidR="00A7137C" w:rsidRPr="00721795" w:rsidRDefault="00A7137C" w:rsidP="00C873F8">
            <w:pPr>
              <w:tabs>
                <w:tab w:val="left" w:pos="603"/>
                <w:tab w:val="center" w:pos="776"/>
              </w:tabs>
              <w:jc w:val="center"/>
            </w:pPr>
            <w:r>
              <w:t>3,49</w:t>
            </w:r>
            <w:r w:rsidRPr="00721795">
              <w:t xml:space="preserve"> %</w:t>
            </w:r>
          </w:p>
        </w:tc>
      </w:tr>
      <w:tr w:rsidR="00A7137C" w:rsidRPr="00721795" w:rsidTr="00C873F8">
        <w:trPr>
          <w:jc w:val="center"/>
        </w:trPr>
        <w:tc>
          <w:tcPr>
            <w:tcW w:w="2043" w:type="dxa"/>
            <w:shd w:val="clear" w:color="auto" w:fill="F3F3F3"/>
          </w:tcPr>
          <w:p w:rsidR="00A7137C" w:rsidRPr="00721795" w:rsidRDefault="00A7137C" w:rsidP="00C873F8">
            <w:pPr>
              <w:jc w:val="both"/>
            </w:pPr>
            <w:r w:rsidRPr="00721795">
              <w:t>NON-PENAL</w:t>
            </w:r>
          </w:p>
        </w:tc>
        <w:tc>
          <w:tcPr>
            <w:tcW w:w="1897" w:type="dxa"/>
            <w:shd w:val="clear" w:color="auto" w:fill="F3F3F3"/>
          </w:tcPr>
          <w:p w:rsidR="00A7137C" w:rsidRPr="00DE20BC" w:rsidRDefault="00A7137C" w:rsidP="00C873F8">
            <w:pPr>
              <w:jc w:val="center"/>
            </w:pPr>
            <w:r w:rsidRPr="00DE20BC">
              <w:t>4118</w:t>
            </w:r>
          </w:p>
        </w:tc>
        <w:tc>
          <w:tcPr>
            <w:tcW w:w="1744" w:type="dxa"/>
            <w:shd w:val="clear" w:color="auto" w:fill="F3F3F3"/>
          </w:tcPr>
          <w:p w:rsidR="00A7137C" w:rsidRPr="00721795" w:rsidRDefault="00A7137C" w:rsidP="00C873F8">
            <w:pPr>
              <w:jc w:val="center"/>
            </w:pPr>
            <w:r>
              <w:t>41</w:t>
            </w:r>
          </w:p>
        </w:tc>
        <w:tc>
          <w:tcPr>
            <w:tcW w:w="1768" w:type="dxa"/>
            <w:shd w:val="clear" w:color="auto" w:fill="F3F3F3"/>
          </w:tcPr>
          <w:p w:rsidR="00A7137C" w:rsidRPr="00721795" w:rsidRDefault="00A7137C" w:rsidP="00C873F8">
            <w:pPr>
              <w:jc w:val="center"/>
            </w:pPr>
            <w:r>
              <w:t>1,00</w:t>
            </w:r>
            <w:r w:rsidRPr="00721795">
              <w:t xml:space="preserve"> %</w:t>
            </w:r>
          </w:p>
        </w:tc>
      </w:tr>
    </w:tbl>
    <w:p w:rsidR="00A7137C" w:rsidRPr="00721795" w:rsidRDefault="00A7137C" w:rsidP="00A7137C">
      <w:pPr>
        <w:jc w:val="both"/>
      </w:pPr>
      <w:r w:rsidRPr="00721795">
        <w:tab/>
      </w:r>
    </w:p>
    <w:p w:rsidR="002E714E" w:rsidRPr="00523BAB" w:rsidRDefault="002E714E" w:rsidP="00A7137C">
      <w:pPr>
        <w:ind w:firstLine="708"/>
        <w:jc w:val="both"/>
      </w:pPr>
      <w:r w:rsidRPr="00523BAB">
        <w:t>Indicii de desființare a hotărârilor atacate îi apreciem ca fiind foarte buni, iar acest aspect este de natură a demonstra că eforturile depuse de magistrații acestei instanțe nu s-au axat doar pe cantitatea de dosare soluționate ci, în același timp</w:t>
      </w:r>
      <w:r w:rsidR="00EE55B5">
        <w:t>,</w:t>
      </w:r>
      <w:r w:rsidRPr="00523BAB">
        <w:t xml:space="preserve"> dacă nu chiar cu prioritate</w:t>
      </w:r>
      <w:r w:rsidR="00EE55B5">
        <w:t>,</w:t>
      </w:r>
      <w:r w:rsidRPr="00523BAB">
        <w:t xml:space="preserve"> pe calitatea actului de justiție.</w:t>
      </w:r>
    </w:p>
    <w:p w:rsidR="002E714E" w:rsidRPr="00523BAB" w:rsidRDefault="00AA6A68" w:rsidP="00A7137C">
      <w:pPr>
        <w:ind w:firstLine="708"/>
        <w:jc w:val="both"/>
      </w:pPr>
      <w:r w:rsidRPr="00523BAB">
        <w:t>Prin raportare la valorile atinse în anul precedent observăm că numărul de hotărâri desființate în calea de atac a scăzut cu peste 50% în materie penală și cu peste 70% în materii non penale!</w:t>
      </w:r>
      <w:r w:rsidR="002E714E" w:rsidRPr="00523BAB">
        <w:t xml:space="preserve"> </w:t>
      </w:r>
    </w:p>
    <w:p w:rsidR="00AA6A68" w:rsidRDefault="00AA6A68" w:rsidP="00A7137C">
      <w:pPr>
        <w:ind w:firstLine="708"/>
        <w:jc w:val="both"/>
      </w:pPr>
      <w:r w:rsidRPr="00523BAB">
        <w:t xml:space="preserve">Aceste aspecte demonstrează că judecătorii din cadrul Judecătoriei Curtea de Argeș au răspuns prompt la </w:t>
      </w:r>
      <w:r w:rsidR="00073EE3" w:rsidRPr="00523BAB">
        <w:t xml:space="preserve">chestiunile de drept semnalate de instanțele de control judiciar </w:t>
      </w:r>
      <w:r w:rsidR="00AA2221" w:rsidRPr="00523BAB">
        <w:t>prin hotărârile desființate în anii precedenți și și-au pliat practica pentru a răspunde scopului unificării acesteia la nivel regional și chiar național.</w:t>
      </w:r>
    </w:p>
    <w:p w:rsidR="00F61FA9" w:rsidRDefault="00F61FA9" w:rsidP="00A7137C">
      <w:pPr>
        <w:ind w:firstLine="708"/>
        <w:jc w:val="both"/>
      </w:pPr>
      <w:r>
        <w:t>În materie penală, indicele de casare este mai ridicat întrucât în sfera hotărârilor desfiinţate se regăsesc şi acele hotărâri în care instanţa de control judiciar a modificat doar cuantumul pedepsei sau modalitatea de executare a acesteia. Aceste motive de casare care, în opinia noastră</w:t>
      </w:r>
      <w:r w:rsidR="00EE55B5">
        <w:t>,</w:t>
      </w:r>
      <w:r>
        <w:t xml:space="preserve"> sunt de ordin subiectiv, nu pot fi imputate magistratului întrucât</w:t>
      </w:r>
      <w:r w:rsidR="00EE55B5">
        <w:t>,</w:t>
      </w:r>
      <w:r>
        <w:t xml:space="preserve"> în ansamblul său</w:t>
      </w:r>
      <w:r w:rsidR="00EE55B5">
        <w:t>,</w:t>
      </w:r>
      <w:r>
        <w:t xml:space="preserve"> hotărârea este una legală.</w:t>
      </w:r>
    </w:p>
    <w:p w:rsidR="00A7137C" w:rsidRPr="00EE55B5" w:rsidRDefault="00A7137C" w:rsidP="00A7137C">
      <w:pPr>
        <w:ind w:firstLine="708"/>
        <w:jc w:val="both"/>
      </w:pPr>
      <w:r w:rsidRPr="00EE55B5">
        <w:t>Situaţia hotărârilor casate/desfiinţate în anul 20</w:t>
      </w:r>
      <w:r w:rsidR="00523BAB" w:rsidRPr="00EE55B5">
        <w:t>20</w:t>
      </w:r>
      <w:r w:rsidRPr="00EE55B5">
        <w:t>, pe materii şi judecător</w:t>
      </w:r>
      <w:r w:rsidR="00EE55B5">
        <w:t xml:space="preserve"> se prezintă astfel:</w:t>
      </w:r>
      <w:r w:rsidRPr="00EE55B5">
        <w:t xml:space="preserve"> </w:t>
      </w:r>
    </w:p>
    <w:p w:rsidR="00EE55B5" w:rsidRPr="00721795" w:rsidRDefault="00EE55B5" w:rsidP="00A7137C">
      <w:pPr>
        <w:ind w:firstLine="708"/>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180"/>
        <w:gridCol w:w="2180"/>
      </w:tblGrid>
      <w:tr w:rsidR="00A7137C" w:rsidRPr="00721795" w:rsidTr="00C873F8">
        <w:trPr>
          <w:jc w:val="center"/>
        </w:trPr>
        <w:tc>
          <w:tcPr>
            <w:tcW w:w="3352" w:type="dxa"/>
            <w:tcBorders>
              <w:bottom w:val="single" w:sz="4" w:space="0" w:color="auto"/>
            </w:tcBorders>
            <w:shd w:val="clear" w:color="auto" w:fill="E0E0E0"/>
          </w:tcPr>
          <w:p w:rsidR="00A7137C" w:rsidRPr="00721795" w:rsidRDefault="00A7137C" w:rsidP="00C873F8">
            <w:pPr>
              <w:jc w:val="center"/>
              <w:rPr>
                <w:b/>
              </w:rPr>
            </w:pPr>
            <w:r w:rsidRPr="00721795">
              <w:rPr>
                <w:b/>
              </w:rPr>
              <w:lastRenderedPageBreak/>
              <w:t>Numele şi prenumele judecătorului</w:t>
            </w:r>
          </w:p>
        </w:tc>
        <w:tc>
          <w:tcPr>
            <w:tcW w:w="2180" w:type="dxa"/>
            <w:tcBorders>
              <w:bottom w:val="single" w:sz="4" w:space="0" w:color="auto"/>
            </w:tcBorders>
            <w:shd w:val="clear" w:color="auto" w:fill="E0E0E0"/>
          </w:tcPr>
          <w:p w:rsidR="00A7137C" w:rsidRPr="00721795" w:rsidRDefault="00A7137C" w:rsidP="00C873F8">
            <w:pPr>
              <w:jc w:val="center"/>
              <w:rPr>
                <w:b/>
              </w:rPr>
            </w:pPr>
            <w:r w:rsidRPr="00721795">
              <w:rPr>
                <w:b/>
              </w:rPr>
              <w:t>Non-penal</w:t>
            </w:r>
          </w:p>
        </w:tc>
        <w:tc>
          <w:tcPr>
            <w:tcW w:w="2180" w:type="dxa"/>
            <w:tcBorders>
              <w:bottom w:val="single" w:sz="4" w:space="0" w:color="auto"/>
            </w:tcBorders>
            <w:shd w:val="clear" w:color="auto" w:fill="E0E0E0"/>
          </w:tcPr>
          <w:p w:rsidR="00A7137C" w:rsidRPr="00721795" w:rsidRDefault="00A7137C" w:rsidP="00C873F8">
            <w:pPr>
              <w:jc w:val="center"/>
              <w:rPr>
                <w:b/>
              </w:rPr>
            </w:pPr>
            <w:r w:rsidRPr="00721795">
              <w:rPr>
                <w:b/>
              </w:rPr>
              <w:t>Penal</w:t>
            </w:r>
          </w:p>
        </w:tc>
      </w:tr>
      <w:tr w:rsidR="00A7137C" w:rsidRPr="00721795" w:rsidTr="00C873F8">
        <w:trPr>
          <w:jc w:val="center"/>
        </w:trPr>
        <w:tc>
          <w:tcPr>
            <w:tcW w:w="3352" w:type="dxa"/>
            <w:shd w:val="clear" w:color="auto" w:fill="F3F3F3"/>
          </w:tcPr>
          <w:p w:rsidR="00A7137C" w:rsidRPr="00721795" w:rsidRDefault="00A7137C" w:rsidP="00C873F8">
            <w:pPr>
              <w:jc w:val="center"/>
            </w:pPr>
            <w:r>
              <w:t>Dragomir Marian-Ionuţ</w:t>
            </w:r>
          </w:p>
        </w:tc>
        <w:tc>
          <w:tcPr>
            <w:tcW w:w="2180" w:type="dxa"/>
            <w:shd w:val="clear" w:color="auto" w:fill="F3F3F3"/>
          </w:tcPr>
          <w:p w:rsidR="00A7137C" w:rsidRPr="00721795" w:rsidRDefault="00A7137C" w:rsidP="00C873F8">
            <w:pPr>
              <w:jc w:val="center"/>
            </w:pPr>
            <w:r>
              <w:t>6</w:t>
            </w:r>
          </w:p>
        </w:tc>
        <w:tc>
          <w:tcPr>
            <w:tcW w:w="2180" w:type="dxa"/>
            <w:shd w:val="clear" w:color="auto" w:fill="F3F3F3"/>
          </w:tcPr>
          <w:p w:rsidR="00A7137C" w:rsidRPr="00721795" w:rsidRDefault="00A7137C" w:rsidP="00C873F8">
            <w:pPr>
              <w:jc w:val="center"/>
            </w:pPr>
            <w:r>
              <w:t>-</w:t>
            </w:r>
          </w:p>
        </w:tc>
      </w:tr>
      <w:tr w:rsidR="00A7137C" w:rsidRPr="00721795" w:rsidTr="00C873F8">
        <w:trPr>
          <w:jc w:val="center"/>
        </w:trPr>
        <w:tc>
          <w:tcPr>
            <w:tcW w:w="3352" w:type="dxa"/>
            <w:shd w:val="clear" w:color="auto" w:fill="F3F3F3"/>
          </w:tcPr>
          <w:p w:rsidR="00A7137C" w:rsidRPr="00721795" w:rsidRDefault="00A7137C" w:rsidP="00C873F8">
            <w:pPr>
              <w:jc w:val="center"/>
            </w:pPr>
            <w:r>
              <w:t xml:space="preserve">Gavrilă Simona </w:t>
            </w:r>
          </w:p>
        </w:tc>
        <w:tc>
          <w:tcPr>
            <w:tcW w:w="2180" w:type="dxa"/>
            <w:shd w:val="clear" w:color="auto" w:fill="F3F3F3"/>
          </w:tcPr>
          <w:p w:rsidR="00A7137C" w:rsidRPr="00721795" w:rsidRDefault="00A7137C" w:rsidP="00C873F8">
            <w:pPr>
              <w:jc w:val="center"/>
            </w:pPr>
            <w:r>
              <w:t>6</w:t>
            </w:r>
          </w:p>
        </w:tc>
        <w:tc>
          <w:tcPr>
            <w:tcW w:w="2180" w:type="dxa"/>
            <w:shd w:val="clear" w:color="auto" w:fill="F3F3F3"/>
          </w:tcPr>
          <w:p w:rsidR="00A7137C" w:rsidRPr="00721795" w:rsidRDefault="00A7137C" w:rsidP="00C873F8">
            <w:pPr>
              <w:jc w:val="center"/>
            </w:pPr>
            <w:r>
              <w:t>1</w:t>
            </w:r>
          </w:p>
        </w:tc>
      </w:tr>
      <w:tr w:rsidR="00A7137C" w:rsidRPr="00721795" w:rsidTr="00C873F8">
        <w:trPr>
          <w:jc w:val="center"/>
        </w:trPr>
        <w:tc>
          <w:tcPr>
            <w:tcW w:w="3352" w:type="dxa"/>
            <w:shd w:val="clear" w:color="auto" w:fill="F3F3F3"/>
          </w:tcPr>
          <w:p w:rsidR="00A7137C" w:rsidRPr="00721795" w:rsidRDefault="00A7137C" w:rsidP="00C873F8">
            <w:pPr>
              <w:jc w:val="center"/>
            </w:pPr>
            <w:r>
              <w:t>Ion Constantin-Bogdan</w:t>
            </w:r>
          </w:p>
        </w:tc>
        <w:tc>
          <w:tcPr>
            <w:tcW w:w="2180" w:type="dxa"/>
            <w:shd w:val="clear" w:color="auto" w:fill="F3F3F3"/>
          </w:tcPr>
          <w:p w:rsidR="00A7137C" w:rsidRPr="00721795" w:rsidRDefault="00A7137C" w:rsidP="00C873F8">
            <w:pPr>
              <w:jc w:val="center"/>
            </w:pPr>
            <w:r>
              <w:t>2</w:t>
            </w:r>
          </w:p>
        </w:tc>
        <w:tc>
          <w:tcPr>
            <w:tcW w:w="2180" w:type="dxa"/>
            <w:shd w:val="clear" w:color="auto" w:fill="F3F3F3"/>
          </w:tcPr>
          <w:p w:rsidR="00A7137C" w:rsidRPr="00721795" w:rsidRDefault="00A7137C" w:rsidP="00C873F8">
            <w:pPr>
              <w:jc w:val="center"/>
            </w:pPr>
            <w:r>
              <w:t>-</w:t>
            </w:r>
          </w:p>
        </w:tc>
      </w:tr>
      <w:tr w:rsidR="00A7137C" w:rsidRPr="00721795" w:rsidTr="00C873F8">
        <w:trPr>
          <w:jc w:val="center"/>
        </w:trPr>
        <w:tc>
          <w:tcPr>
            <w:tcW w:w="3352" w:type="dxa"/>
            <w:shd w:val="clear" w:color="auto" w:fill="F3F3F3"/>
          </w:tcPr>
          <w:p w:rsidR="00A7137C" w:rsidRPr="00721795" w:rsidRDefault="00A7137C" w:rsidP="00C873F8">
            <w:pPr>
              <w:jc w:val="center"/>
            </w:pPr>
            <w:r>
              <w:t>Pavelescu Alina</w:t>
            </w:r>
          </w:p>
        </w:tc>
        <w:tc>
          <w:tcPr>
            <w:tcW w:w="2180" w:type="dxa"/>
            <w:shd w:val="clear" w:color="auto" w:fill="F3F3F3"/>
          </w:tcPr>
          <w:p w:rsidR="00A7137C" w:rsidRPr="00721795" w:rsidRDefault="00A7137C" w:rsidP="00C873F8">
            <w:pPr>
              <w:jc w:val="center"/>
            </w:pPr>
            <w:r>
              <w:t>1</w:t>
            </w:r>
          </w:p>
        </w:tc>
        <w:tc>
          <w:tcPr>
            <w:tcW w:w="2180" w:type="dxa"/>
            <w:shd w:val="clear" w:color="auto" w:fill="F3F3F3"/>
          </w:tcPr>
          <w:p w:rsidR="00A7137C" w:rsidRPr="00721795" w:rsidRDefault="00A7137C" w:rsidP="00C873F8">
            <w:pPr>
              <w:jc w:val="center"/>
            </w:pPr>
            <w:r>
              <w:t>-</w:t>
            </w:r>
          </w:p>
        </w:tc>
      </w:tr>
      <w:tr w:rsidR="00A7137C" w:rsidRPr="00721795" w:rsidTr="00C873F8">
        <w:trPr>
          <w:jc w:val="center"/>
        </w:trPr>
        <w:tc>
          <w:tcPr>
            <w:tcW w:w="3352" w:type="dxa"/>
            <w:shd w:val="clear" w:color="auto" w:fill="F3F3F3"/>
          </w:tcPr>
          <w:p w:rsidR="00A7137C" w:rsidRPr="00721795" w:rsidRDefault="00A7137C" w:rsidP="00C873F8">
            <w:pPr>
              <w:jc w:val="center"/>
            </w:pPr>
            <w:r>
              <w:t xml:space="preserve">Sâvu Nicolae-Cristian </w:t>
            </w:r>
          </w:p>
        </w:tc>
        <w:tc>
          <w:tcPr>
            <w:tcW w:w="2180" w:type="dxa"/>
            <w:shd w:val="clear" w:color="auto" w:fill="F3F3F3"/>
          </w:tcPr>
          <w:p w:rsidR="00A7137C" w:rsidRPr="00721795" w:rsidRDefault="00A7137C" w:rsidP="00C873F8">
            <w:pPr>
              <w:jc w:val="center"/>
            </w:pPr>
            <w:r>
              <w:t>8</w:t>
            </w:r>
          </w:p>
        </w:tc>
        <w:tc>
          <w:tcPr>
            <w:tcW w:w="2180" w:type="dxa"/>
            <w:shd w:val="clear" w:color="auto" w:fill="F3F3F3"/>
          </w:tcPr>
          <w:p w:rsidR="00A7137C" w:rsidRPr="00721795" w:rsidRDefault="00A7137C" w:rsidP="00C873F8">
            <w:pPr>
              <w:jc w:val="center"/>
            </w:pPr>
            <w:r>
              <w:t>11</w:t>
            </w:r>
          </w:p>
        </w:tc>
      </w:tr>
      <w:tr w:rsidR="00A7137C" w:rsidRPr="00721795" w:rsidTr="00C873F8">
        <w:trPr>
          <w:jc w:val="center"/>
        </w:trPr>
        <w:tc>
          <w:tcPr>
            <w:tcW w:w="3352" w:type="dxa"/>
            <w:shd w:val="clear" w:color="auto" w:fill="F3F3F3"/>
          </w:tcPr>
          <w:p w:rsidR="00A7137C" w:rsidRPr="00721795" w:rsidRDefault="00A7137C" w:rsidP="00C873F8">
            <w:pPr>
              <w:jc w:val="center"/>
            </w:pPr>
            <w:r>
              <w:t xml:space="preserve">Stana Corneliu-Adrian </w:t>
            </w:r>
          </w:p>
        </w:tc>
        <w:tc>
          <w:tcPr>
            <w:tcW w:w="2180" w:type="dxa"/>
            <w:shd w:val="clear" w:color="auto" w:fill="F3F3F3"/>
          </w:tcPr>
          <w:p w:rsidR="00A7137C" w:rsidRPr="00721795" w:rsidRDefault="00A7137C" w:rsidP="00C873F8">
            <w:pPr>
              <w:jc w:val="center"/>
            </w:pPr>
            <w:r>
              <w:t>5</w:t>
            </w:r>
          </w:p>
        </w:tc>
        <w:tc>
          <w:tcPr>
            <w:tcW w:w="2180" w:type="dxa"/>
            <w:shd w:val="clear" w:color="auto" w:fill="F3F3F3"/>
          </w:tcPr>
          <w:p w:rsidR="00A7137C" w:rsidRPr="00721795" w:rsidRDefault="00A7137C" w:rsidP="00C873F8">
            <w:pPr>
              <w:jc w:val="center"/>
            </w:pPr>
            <w:r>
              <w:t>21</w:t>
            </w:r>
          </w:p>
        </w:tc>
      </w:tr>
      <w:tr w:rsidR="00A7137C" w:rsidRPr="00721795" w:rsidTr="00C873F8">
        <w:trPr>
          <w:jc w:val="center"/>
        </w:trPr>
        <w:tc>
          <w:tcPr>
            <w:tcW w:w="3352" w:type="dxa"/>
            <w:shd w:val="clear" w:color="auto" w:fill="F3F3F3"/>
          </w:tcPr>
          <w:p w:rsidR="00A7137C" w:rsidRPr="00721795" w:rsidRDefault="00A7137C" w:rsidP="00C873F8">
            <w:pPr>
              <w:jc w:val="center"/>
            </w:pPr>
            <w:r>
              <w:t xml:space="preserve">Stoica Ovidiu-Marian </w:t>
            </w:r>
          </w:p>
        </w:tc>
        <w:tc>
          <w:tcPr>
            <w:tcW w:w="2180" w:type="dxa"/>
            <w:shd w:val="clear" w:color="auto" w:fill="F3F3F3"/>
          </w:tcPr>
          <w:p w:rsidR="00A7137C" w:rsidRPr="00721795" w:rsidRDefault="00A7137C" w:rsidP="00C873F8">
            <w:pPr>
              <w:jc w:val="center"/>
            </w:pPr>
            <w:r>
              <w:t>13</w:t>
            </w:r>
          </w:p>
        </w:tc>
        <w:tc>
          <w:tcPr>
            <w:tcW w:w="2180" w:type="dxa"/>
            <w:shd w:val="clear" w:color="auto" w:fill="F3F3F3"/>
          </w:tcPr>
          <w:p w:rsidR="00A7137C" w:rsidRPr="00721795" w:rsidRDefault="00A7137C" w:rsidP="00C873F8">
            <w:pPr>
              <w:jc w:val="center"/>
            </w:pPr>
            <w:r>
              <w:t>-</w:t>
            </w:r>
          </w:p>
        </w:tc>
      </w:tr>
      <w:tr w:rsidR="00A7137C" w:rsidRPr="00721795" w:rsidTr="00C873F8">
        <w:trPr>
          <w:jc w:val="center"/>
        </w:trPr>
        <w:tc>
          <w:tcPr>
            <w:tcW w:w="3352" w:type="dxa"/>
            <w:shd w:val="clear" w:color="auto" w:fill="E0E0E0"/>
          </w:tcPr>
          <w:p w:rsidR="00A7137C" w:rsidRPr="00721795" w:rsidRDefault="00A7137C" w:rsidP="00C873F8">
            <w:pPr>
              <w:jc w:val="both"/>
              <w:rPr>
                <w:b/>
              </w:rPr>
            </w:pPr>
            <w:r w:rsidRPr="00721795">
              <w:rPr>
                <w:b/>
              </w:rPr>
              <w:t>TOTAL</w:t>
            </w:r>
          </w:p>
        </w:tc>
        <w:tc>
          <w:tcPr>
            <w:tcW w:w="2180" w:type="dxa"/>
            <w:shd w:val="clear" w:color="auto" w:fill="E0E0E0"/>
          </w:tcPr>
          <w:p w:rsidR="00A7137C" w:rsidRPr="00721795" w:rsidRDefault="00A7137C" w:rsidP="00C873F8">
            <w:pPr>
              <w:jc w:val="center"/>
              <w:rPr>
                <w:b/>
              </w:rPr>
            </w:pPr>
            <w:r>
              <w:rPr>
                <w:b/>
              </w:rPr>
              <w:t>41</w:t>
            </w:r>
          </w:p>
        </w:tc>
        <w:tc>
          <w:tcPr>
            <w:tcW w:w="2180" w:type="dxa"/>
            <w:shd w:val="clear" w:color="auto" w:fill="E0E0E0"/>
          </w:tcPr>
          <w:p w:rsidR="00A7137C" w:rsidRPr="00721795" w:rsidRDefault="00A7137C" w:rsidP="00C873F8">
            <w:pPr>
              <w:jc w:val="center"/>
              <w:rPr>
                <w:b/>
              </w:rPr>
            </w:pPr>
            <w:r>
              <w:rPr>
                <w:b/>
              </w:rPr>
              <w:t>33</w:t>
            </w:r>
          </w:p>
        </w:tc>
      </w:tr>
    </w:tbl>
    <w:p w:rsidR="00A7137C" w:rsidRPr="002F5F22" w:rsidRDefault="00A7137C" w:rsidP="00A7137C">
      <w:pPr>
        <w:jc w:val="both"/>
        <w:rPr>
          <w:color w:val="FF0000"/>
        </w:rPr>
      </w:pPr>
      <w:r w:rsidRPr="002F5F22">
        <w:rPr>
          <w:color w:val="FF0000"/>
        </w:rPr>
        <w:tab/>
      </w:r>
    </w:p>
    <w:p w:rsidR="00B525EE" w:rsidRDefault="00B525EE" w:rsidP="00A7137C">
      <w:pPr>
        <w:ind w:firstLine="708"/>
        <w:jc w:val="both"/>
      </w:pPr>
      <w:r>
        <w:t>Pentru a înțelege mai bine caracterul pozitiv al acestor date statistice am extras din programele evidențiate numărul</w:t>
      </w:r>
      <w:r w:rsidR="00EE55B5">
        <w:t xml:space="preserve"> de hotărâri pronunțate de cei patru j</w:t>
      </w:r>
      <w:r>
        <w:t>udecători care au funcționat în aceast</w:t>
      </w:r>
      <w:r w:rsidR="00EE55B5">
        <w:t>ă</w:t>
      </w:r>
      <w:r>
        <w:t xml:space="preserve"> instanță în întreg anul 2020</w:t>
      </w:r>
      <w:r w:rsidR="00EE55B5">
        <w:t>,</w:t>
      </w:r>
      <w:r>
        <w:t xml:space="preserve"> după care am procedat la calcularea indicelui de casare, pentru fiecare în parte.</w:t>
      </w:r>
    </w:p>
    <w:p w:rsidR="00B525EE" w:rsidRDefault="00D812AB" w:rsidP="00EE55B5">
      <w:pPr>
        <w:pStyle w:val="Listparagraf"/>
        <w:numPr>
          <w:ilvl w:val="0"/>
          <w:numId w:val="47"/>
        </w:numPr>
        <w:ind w:left="284" w:hanging="284"/>
        <w:jc w:val="both"/>
      </w:pPr>
      <w:r>
        <w:t>Dragomir Marian-Ionuţ a pronunțat în cursul anului 2020 un număr de 1108 hotărâri, indicele de casare al acestui magistrat fiind de 0,05%</w:t>
      </w:r>
      <w:r w:rsidR="00EE55B5">
        <w:t>.</w:t>
      </w:r>
    </w:p>
    <w:p w:rsidR="00D812AB" w:rsidRDefault="00D812AB" w:rsidP="00EE55B5">
      <w:pPr>
        <w:pStyle w:val="Listparagraf"/>
        <w:numPr>
          <w:ilvl w:val="0"/>
          <w:numId w:val="47"/>
        </w:numPr>
        <w:ind w:left="284" w:hanging="284"/>
        <w:jc w:val="both"/>
      </w:pPr>
      <w:r>
        <w:t>Gavrilă Simona a pronunțat în cursul anului 2020 un număr de 1096 hotărâri, indicele de casare al acestui magistrat fiind de 0,06%</w:t>
      </w:r>
      <w:r w:rsidR="00EE55B5">
        <w:t>.</w:t>
      </w:r>
    </w:p>
    <w:p w:rsidR="00D812AB" w:rsidRDefault="00D812AB" w:rsidP="00EE55B5">
      <w:pPr>
        <w:pStyle w:val="Listparagraf"/>
        <w:numPr>
          <w:ilvl w:val="0"/>
          <w:numId w:val="47"/>
        </w:numPr>
        <w:ind w:left="284" w:hanging="284"/>
        <w:jc w:val="both"/>
      </w:pPr>
      <w:r>
        <w:t>Sâvu Nicolae-Cristian</w:t>
      </w:r>
      <w:r w:rsidRPr="00D812AB">
        <w:t xml:space="preserve"> </w:t>
      </w:r>
      <w:r>
        <w:t>a pronunțat în cursul anului 2020 un număr de 1031 hotărâri, indicele de casare al acestui magistrat fiind de 1,85 %</w:t>
      </w:r>
      <w:r w:rsidR="00EE55B5">
        <w:t>.</w:t>
      </w:r>
    </w:p>
    <w:p w:rsidR="00D812AB" w:rsidRDefault="00EE55B5" w:rsidP="00EE55B5">
      <w:pPr>
        <w:pStyle w:val="Listparagraf"/>
        <w:numPr>
          <w:ilvl w:val="0"/>
          <w:numId w:val="47"/>
        </w:numPr>
        <w:ind w:left="284" w:hanging="284"/>
        <w:jc w:val="both"/>
      </w:pPr>
      <w:r>
        <w:t xml:space="preserve">Stana Corneliu-Adrian </w:t>
      </w:r>
      <w:r w:rsidR="00D812AB">
        <w:t>a pronunțat în cursul anului 2020 un număr de 1123 hotărâri, indicele de casare al acestui magistrat fiind de 2,31 %</w:t>
      </w:r>
      <w:r>
        <w:t>.</w:t>
      </w:r>
    </w:p>
    <w:p w:rsidR="00B525EE" w:rsidRDefault="00923096" w:rsidP="00A7137C">
      <w:pPr>
        <w:ind w:firstLine="708"/>
        <w:jc w:val="both"/>
      </w:pPr>
      <w:r>
        <w:t xml:space="preserve">Menționăm faptul că ultimii </w:t>
      </w:r>
      <w:r w:rsidR="00EE55B5">
        <w:t xml:space="preserve">doi </w:t>
      </w:r>
      <w:r>
        <w:t xml:space="preserve">judecători au soluționat cu preponderență cauze penale în care indicele de casare este mai ridicat decât în cauzele </w:t>
      </w:r>
      <w:r w:rsidR="00FF52F5">
        <w:t xml:space="preserve">din materiile </w:t>
      </w:r>
      <w:r w:rsidR="00EE55B5">
        <w:t>non-penale</w:t>
      </w:r>
      <w:r w:rsidR="007D412B">
        <w:t>, în considerentele subliniate anterior</w:t>
      </w:r>
      <w:r>
        <w:t xml:space="preserve">. </w:t>
      </w:r>
    </w:p>
    <w:p w:rsidR="00923096" w:rsidRDefault="00923096" w:rsidP="00A7137C">
      <w:pPr>
        <w:ind w:firstLine="708"/>
        <w:jc w:val="both"/>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FF52F5" w:rsidP="002027BA">
      <w:pPr>
        <w:jc w:val="center"/>
        <w:rPr>
          <w:b/>
          <w:sz w:val="28"/>
          <w:szCs w:val="28"/>
        </w:rPr>
      </w:pPr>
    </w:p>
    <w:p w:rsidR="00FF52F5" w:rsidRDefault="002027BA" w:rsidP="002027BA">
      <w:pPr>
        <w:jc w:val="center"/>
        <w:rPr>
          <w:b/>
          <w:sz w:val="28"/>
          <w:szCs w:val="28"/>
        </w:rPr>
      </w:pPr>
      <w:r w:rsidRPr="00EF54A3">
        <w:rPr>
          <w:b/>
          <w:sz w:val="28"/>
          <w:szCs w:val="28"/>
        </w:rPr>
        <w:lastRenderedPageBreak/>
        <w:t xml:space="preserve">II. </w:t>
      </w:r>
      <w:r w:rsidR="00A7137C" w:rsidRPr="00EF54A3">
        <w:rPr>
          <w:b/>
          <w:sz w:val="28"/>
          <w:szCs w:val="28"/>
        </w:rPr>
        <w:t>DATE STATISTICE</w:t>
      </w:r>
      <w:r w:rsidR="00FF52F5">
        <w:rPr>
          <w:b/>
          <w:sz w:val="28"/>
          <w:szCs w:val="28"/>
        </w:rPr>
        <w:t xml:space="preserve"> </w:t>
      </w:r>
      <w:r w:rsidR="00A7137C" w:rsidRPr="00EF54A3">
        <w:rPr>
          <w:b/>
          <w:sz w:val="28"/>
          <w:szCs w:val="28"/>
        </w:rPr>
        <w:t xml:space="preserve">REFERITOARE LA RESURSELE </w:t>
      </w:r>
    </w:p>
    <w:p w:rsidR="00A7137C" w:rsidRPr="00721795" w:rsidRDefault="00A7137C" w:rsidP="002027BA">
      <w:pPr>
        <w:jc w:val="center"/>
        <w:rPr>
          <w:b/>
          <w:sz w:val="32"/>
          <w:szCs w:val="32"/>
        </w:rPr>
      </w:pPr>
      <w:r w:rsidRPr="00EF54A3">
        <w:rPr>
          <w:b/>
          <w:sz w:val="28"/>
          <w:szCs w:val="28"/>
        </w:rPr>
        <w:t>UMANE</w:t>
      </w:r>
      <w:r w:rsidR="00FF52F5">
        <w:rPr>
          <w:b/>
          <w:sz w:val="28"/>
          <w:szCs w:val="28"/>
        </w:rPr>
        <w:t xml:space="preserve"> </w:t>
      </w:r>
      <w:r w:rsidRPr="00EF54A3">
        <w:rPr>
          <w:b/>
          <w:sz w:val="28"/>
          <w:szCs w:val="28"/>
        </w:rPr>
        <w:t>LA NIVELUL INSTANŢEI</w:t>
      </w:r>
    </w:p>
    <w:p w:rsidR="00A7137C" w:rsidRPr="00721795" w:rsidRDefault="00A7137C" w:rsidP="002027BA">
      <w:pPr>
        <w:ind w:left="780"/>
        <w:jc w:val="center"/>
        <w:rPr>
          <w:b/>
          <w:sz w:val="32"/>
          <w:szCs w:val="32"/>
        </w:rPr>
      </w:pPr>
    </w:p>
    <w:p w:rsidR="00A7137C" w:rsidRPr="00721795" w:rsidRDefault="00A7137C" w:rsidP="00A7137C">
      <w:pPr>
        <w:jc w:val="both"/>
        <w:rPr>
          <w:b/>
        </w:rPr>
      </w:pPr>
    </w:p>
    <w:p w:rsidR="00A7137C" w:rsidRPr="00721795" w:rsidRDefault="00A7137C" w:rsidP="00D56D59">
      <w:pPr>
        <w:jc w:val="center"/>
        <w:rPr>
          <w:b/>
        </w:rPr>
      </w:pPr>
      <w:r w:rsidRPr="00721795">
        <w:rPr>
          <w:b/>
        </w:rPr>
        <w:t>II.1. Situaţia posturilor (de judecător, de personal auxiliar de specialitate)</w:t>
      </w:r>
    </w:p>
    <w:p w:rsidR="00A7137C" w:rsidRPr="00721795" w:rsidRDefault="00A7137C" w:rsidP="00A7137C">
      <w:pPr>
        <w:ind w:firstLine="708"/>
        <w:jc w:val="both"/>
      </w:pPr>
    </w:p>
    <w:p w:rsidR="00196DB2" w:rsidRDefault="00A7137C" w:rsidP="00A7137C">
      <w:pPr>
        <w:ind w:firstLine="708"/>
        <w:jc w:val="both"/>
      </w:pPr>
      <w:r>
        <w:t xml:space="preserve">Schema de personal a Judecătoriei Curtea de Argeş este constituită din 7 posturi de judecător, 17 personal auxiliar de specialitate, 3 de personal conex şi un post de personal contractual. </w:t>
      </w:r>
    </w:p>
    <w:p w:rsidR="00A7137C" w:rsidRDefault="00A7137C" w:rsidP="00A7137C">
      <w:pPr>
        <w:ind w:firstLine="708"/>
        <w:jc w:val="both"/>
      </w:pPr>
      <w:r>
        <w:t xml:space="preserve">Dintre acestea, în prezent sunt vacante 3 posturi de judecător (2 temporare şi unul definitiv) şi 3 posturi de grefier (2 temporare şi unul definitiv). </w:t>
      </w:r>
    </w:p>
    <w:p w:rsidR="00A7137C" w:rsidRDefault="00A7137C" w:rsidP="00A7137C">
      <w:pPr>
        <w:ind w:firstLine="708"/>
        <w:jc w:val="both"/>
      </w:pPr>
      <w:r w:rsidRPr="00721795">
        <w:t>În anul 2020 conducerea instanţei a urmărit organizarea eficientă a activităţii pentru îndeplinirea cu precădere a creşterii calităţii actului de justiţie.</w:t>
      </w:r>
    </w:p>
    <w:p w:rsidR="00A7137C" w:rsidRPr="00721795" w:rsidRDefault="00A7137C" w:rsidP="00A7137C">
      <w:pPr>
        <w:ind w:firstLine="708"/>
        <w:jc w:val="both"/>
      </w:pPr>
      <w:r w:rsidRPr="00721795">
        <w:t>În acest sens, s-a încercat repartizarea sarcinilor către personalul auxiliar</w:t>
      </w:r>
      <w:r w:rsidR="00FF52F5">
        <w:t xml:space="preserve"> şi conex de specialitate, </w:t>
      </w:r>
      <w:r w:rsidRPr="00721795">
        <w:t>astfel încât acesta să răspundă cât mai bine cerinţelor postului şi a solicitărilor judecătorilor.</w:t>
      </w:r>
    </w:p>
    <w:p w:rsidR="00A7137C" w:rsidRPr="00721795" w:rsidRDefault="00A7137C" w:rsidP="00A7137C">
      <w:pPr>
        <w:jc w:val="both"/>
      </w:pPr>
      <w:r w:rsidRPr="00721795">
        <w:tab/>
        <w:t>S-a acordat o atenţie sporită pentru menţinerea unui climat organizaţional care să permită îmbunătățirea relaţiilor pe orizontală şi pe verticală a angajaţilor din sistem, a relaţiilor cu publicul şi cu alte instituţii implicate în realizarea actului de justiţie.</w:t>
      </w:r>
    </w:p>
    <w:p w:rsidR="00A7137C" w:rsidRPr="00721795" w:rsidRDefault="00A7137C" w:rsidP="00A7137C">
      <w:pPr>
        <w:jc w:val="both"/>
      </w:pPr>
      <w:r w:rsidRPr="00721795">
        <w:tab/>
        <w:t xml:space="preserve">De vreme ce Regulamentul de ordine interioară al instanţelor judecătoreşti continuă să reglementeze şi alte activităţi în sarcina judecătorilor, altele decât cele care ţin exclusiv de judecată, nu s-a putut realiza o degrevare a magistraţilor de sarcinile auxiliare, singurele măsuri ce au putut fi luate fiind cele privind repartizarea echitabilă a </w:t>
      </w:r>
      <w:r w:rsidR="00FF52F5">
        <w:t xml:space="preserve">acestor </w:t>
      </w:r>
      <w:r w:rsidRPr="00721795">
        <w:t xml:space="preserve">atribuţii. </w:t>
      </w:r>
    </w:p>
    <w:p w:rsidR="00A7137C" w:rsidRPr="00721795" w:rsidRDefault="00A7137C" w:rsidP="00A7137C">
      <w:pPr>
        <w:ind w:firstLine="708"/>
        <w:jc w:val="both"/>
      </w:pPr>
      <w:r w:rsidRPr="00721795">
        <w:t xml:space="preserve">În ceea ce priveşte personalul auxiliar s-a încercat o specializare a acestora în funcţie de studii, experienţa profesională, rezultatele obţinute în cadrul anumitor </w:t>
      </w:r>
      <w:r w:rsidR="00FF52F5">
        <w:t xml:space="preserve">compartimente </w:t>
      </w:r>
      <w:r w:rsidRPr="00721795">
        <w:t>sau cu privire la anumite activităţi şi chiar opţiunile proprii.</w:t>
      </w:r>
    </w:p>
    <w:p w:rsidR="00A7137C" w:rsidRPr="00721795" w:rsidRDefault="00A7137C" w:rsidP="00A7137C">
      <w:pPr>
        <w:ind w:firstLine="708"/>
        <w:jc w:val="both"/>
      </w:pPr>
      <w:r w:rsidRPr="00721795">
        <w:t xml:space="preserve">Astfel, s-a menţinut măsura repartizării unui grefier la Biroul de executări civile şi a altuia la Biroul de executări penale, grefieri care nu participă la şedinţele de judecată, dar care au obligaţia să se ajute între ei şi să </w:t>
      </w:r>
      <w:r w:rsidR="00FF52F5">
        <w:t xml:space="preserve">se înlocuiască reciproc </w:t>
      </w:r>
      <w:r w:rsidRPr="00721795">
        <w:t xml:space="preserve">în situaţiile generate de </w:t>
      </w:r>
      <w:r w:rsidR="00FF52F5">
        <w:t xml:space="preserve"> </w:t>
      </w:r>
      <w:r w:rsidRPr="00721795">
        <w:t>concedii medicale, concedii de odihnă etc.</w:t>
      </w:r>
    </w:p>
    <w:p w:rsidR="00A7137C" w:rsidRPr="00721795" w:rsidRDefault="00A7137C" w:rsidP="00A7137C">
      <w:pPr>
        <w:ind w:firstLine="708"/>
        <w:jc w:val="both"/>
      </w:pPr>
      <w:r w:rsidRPr="00721795">
        <w:t xml:space="preserve">În cadrul compartimentelor Registratură şi Arhivă, au fost repartizaţi patru grefieri, fiecare cu sarcini distincte, după cum urmează: </w:t>
      </w:r>
    </w:p>
    <w:p w:rsidR="00A7137C" w:rsidRPr="00721795" w:rsidRDefault="00A7137C" w:rsidP="00A7137C">
      <w:pPr>
        <w:ind w:firstLine="708"/>
        <w:jc w:val="both"/>
      </w:pPr>
      <w:r w:rsidRPr="00721795">
        <w:t xml:space="preserve">- un grefier-arhivar care desfăşoară activităţi în legătură cu arhiva; </w:t>
      </w:r>
    </w:p>
    <w:p w:rsidR="00A7137C" w:rsidRPr="00721795" w:rsidRDefault="00A7137C" w:rsidP="00A7137C">
      <w:pPr>
        <w:ind w:firstLine="708"/>
        <w:jc w:val="both"/>
      </w:pPr>
      <w:r w:rsidRPr="00721795">
        <w:t xml:space="preserve">- un grefier care desfăşoară activităţi de primire şi înregistrare documente, precum şi de sortare şi distribuirea acestora pe circuit; </w:t>
      </w:r>
    </w:p>
    <w:p w:rsidR="00A7137C" w:rsidRPr="00721795" w:rsidRDefault="00A7137C" w:rsidP="00A7137C">
      <w:pPr>
        <w:ind w:firstLine="708"/>
        <w:jc w:val="both"/>
      </w:pPr>
      <w:r w:rsidRPr="00721795">
        <w:t>- un grefier desemnat cu repartizarea aleatorie a dosarelor prin intermediul aplicaţiei ECRIS şi cu ţinerea evidenţelor specifice Biroului de informare şi relaţii publice;</w:t>
      </w:r>
    </w:p>
    <w:p w:rsidR="00A7137C" w:rsidRPr="00721795" w:rsidRDefault="00A7137C" w:rsidP="00A7137C">
      <w:pPr>
        <w:ind w:firstLine="708"/>
        <w:jc w:val="both"/>
      </w:pPr>
      <w:r w:rsidRPr="00721795">
        <w:t xml:space="preserve">- un grefier desemnat cu scanarea documentelor şi dactilografierea proiectelor de hotărâri. </w:t>
      </w:r>
    </w:p>
    <w:p w:rsidR="00A7137C" w:rsidRPr="003264C9" w:rsidRDefault="00A7137C" w:rsidP="00A7137C">
      <w:pPr>
        <w:ind w:firstLine="708"/>
        <w:jc w:val="both"/>
      </w:pPr>
      <w:r w:rsidRPr="00721795">
        <w:t>Cei patru grefieri au şi obligaţia de a se înlocui reciproc în cazuri de absenţă, cu excepţia atribuţiilor de repartizare a dosarelor prin intermediul aplicaţiei ECRIS</w:t>
      </w:r>
      <w:r w:rsidR="00FF52F5">
        <w:t>,</w:t>
      </w:r>
      <w:r w:rsidRPr="00721795">
        <w:t xml:space="preserve"> care revin </w:t>
      </w:r>
      <w:r w:rsidRPr="003264C9">
        <w:t>grefierului-şef</w:t>
      </w:r>
      <w:r w:rsidR="00FF52F5" w:rsidRPr="003264C9">
        <w:t>,</w:t>
      </w:r>
      <w:r w:rsidRPr="003264C9">
        <w:t xml:space="preserve"> în lipsa titularului. </w:t>
      </w:r>
    </w:p>
    <w:p w:rsidR="00A7137C" w:rsidRPr="003264C9" w:rsidRDefault="00A7137C" w:rsidP="00A7137C">
      <w:pPr>
        <w:ind w:firstLine="708"/>
        <w:jc w:val="both"/>
      </w:pPr>
      <w:r w:rsidRPr="003264C9">
        <w:t xml:space="preserve">Ceilalţi zece grefieri asigură buna desfăşurare a şedinţelor de judecată, îndeplinirea  activităţilor specifice procedurii prealabile fixării primului termen de judecată, a camerei preliminare, precum şi întocmirea proiectelor de hotărâri în cauzele cu complexitate redusă: încuviinţarea executării silite, înlocuire amendă contravenţională cu muncă în folosul comunităţii. </w:t>
      </w:r>
    </w:p>
    <w:p w:rsidR="00A7137C" w:rsidRPr="00BE5132" w:rsidRDefault="00A7137C" w:rsidP="00A7137C">
      <w:pPr>
        <w:ind w:firstLine="708"/>
        <w:jc w:val="both"/>
      </w:pPr>
      <w:r w:rsidRPr="00BE5132">
        <w:t xml:space="preserve">În ceea ce priveşte magistraţii, în ultimele </w:t>
      </w:r>
      <w:r>
        <w:t xml:space="preserve">şapte </w:t>
      </w:r>
      <w:r w:rsidRPr="00BE5132">
        <w:t>luni ale anului 20</w:t>
      </w:r>
      <w:r>
        <w:t>20</w:t>
      </w:r>
      <w:r w:rsidR="003264C9">
        <w:t>,</w:t>
      </w:r>
      <w:r w:rsidRPr="00BE5132">
        <w:t xml:space="preserve"> la Judecătoria Curtea de Argeş au funcţionat doar </w:t>
      </w:r>
      <w:r>
        <w:t xml:space="preserve">patru </w:t>
      </w:r>
      <w:r w:rsidRPr="00BE5132">
        <w:t>judecători.</w:t>
      </w:r>
    </w:p>
    <w:p w:rsidR="00196DB2" w:rsidRPr="0097093F" w:rsidRDefault="00196DB2" w:rsidP="00A7137C">
      <w:pPr>
        <w:ind w:firstLine="708"/>
        <w:jc w:val="both"/>
      </w:pPr>
      <w:r w:rsidRPr="0097093F">
        <w:lastRenderedPageBreak/>
        <w:t>Numărul redus de judecători care au funcţionat în cadrul acestei instanţe a condus la desfiinţarea completelor specializate, ne</w:t>
      </w:r>
      <w:r w:rsidR="00946E61" w:rsidRPr="0097093F">
        <w:t>mai</w:t>
      </w:r>
      <w:r w:rsidRPr="0097093F">
        <w:t>putându-se asigura o distribuire egală a cauzelor care cad în competenţa materială a acestei instanţe.</w:t>
      </w:r>
    </w:p>
    <w:p w:rsidR="00196DB2" w:rsidRPr="0097093F" w:rsidRDefault="00770433" w:rsidP="00A7137C">
      <w:pPr>
        <w:ind w:firstLine="708"/>
        <w:jc w:val="both"/>
      </w:pPr>
      <w:r w:rsidRPr="0097093F">
        <w:t>Revenirea la completele specializate în materie penal, non penal (civil</w:t>
      </w:r>
      <w:r w:rsidR="003264C9">
        <w:t xml:space="preserve">, minori şi familie </w:t>
      </w:r>
      <w:r w:rsidRPr="0097093F">
        <w:t>şi litigii cu profesioniştii) rămâne însă un obiectiv pe termen scurt care va fi atin</w:t>
      </w:r>
      <w:r w:rsidR="00F81E43" w:rsidRPr="0097093F">
        <w:t xml:space="preserve">s </w:t>
      </w:r>
      <w:r w:rsidRPr="0097093F">
        <w:t>după ocup</w:t>
      </w:r>
      <w:r w:rsidR="00F81E43" w:rsidRPr="0097093F">
        <w:t>a</w:t>
      </w:r>
      <w:r w:rsidRPr="0097093F">
        <w:t xml:space="preserve">rea schemei de </w:t>
      </w:r>
      <w:r w:rsidR="00F81E43" w:rsidRPr="0097093F">
        <w:t>magistraţi la un nivel rezonabil.</w:t>
      </w:r>
    </w:p>
    <w:p w:rsidR="00A7137C" w:rsidRPr="0097093F" w:rsidRDefault="00A7137C" w:rsidP="00A7137C">
      <w:pPr>
        <w:jc w:val="both"/>
      </w:pPr>
      <w:r w:rsidRPr="0097093F">
        <w:tab/>
        <w:t>Conducerea instanţei şi ceilalţi judecători s-au preocupat în permanenţă pentru ca sectoarele de activitate şi personalul auxiliar să funcţioneze la un standard ridicat, iar acolo unde se constatau anumite dificultăţi în exercitarea corespunzătoare a atribuţiilor de serviciu, acestea erau discutate</w:t>
      </w:r>
      <w:r w:rsidR="00D56D59">
        <w:t xml:space="preserve">, erau căutate soluţii </w:t>
      </w:r>
      <w:r w:rsidRPr="0097093F">
        <w:t>şi</w:t>
      </w:r>
      <w:r w:rsidR="00D56D59">
        <w:t xml:space="preserve"> </w:t>
      </w:r>
      <w:r w:rsidRPr="0097093F">
        <w:t xml:space="preserve">se </w:t>
      </w:r>
      <w:r w:rsidR="00D56D59">
        <w:t xml:space="preserve">luau </w:t>
      </w:r>
      <w:r w:rsidRPr="0097093F">
        <w:t>măsuri corespunzătoare pentru înlăturarea lor.</w:t>
      </w:r>
    </w:p>
    <w:p w:rsidR="00A7137C" w:rsidRPr="0097093F" w:rsidRDefault="00A7137C" w:rsidP="00A7137C">
      <w:pPr>
        <w:jc w:val="both"/>
      </w:pPr>
      <w:r w:rsidRPr="0097093F">
        <w:tab/>
        <w:t>Preşedintele instanţei a emis de fiecare dată, atunci când acest lucru a impus-o, ordin de serviciu prin care a stabilit pentru fiecare angajat atribuţiile specifice la locul de muncă, astfel că aceştia au înţeles să fie răspunzători pentru munca pe care au prestat-o, deşi aceasta este supraîncărcată.</w:t>
      </w:r>
    </w:p>
    <w:p w:rsidR="00A7137C" w:rsidRPr="0097093F" w:rsidRDefault="00A7137C" w:rsidP="00A7137C">
      <w:pPr>
        <w:jc w:val="both"/>
      </w:pPr>
      <w:r w:rsidRPr="0097093F">
        <w:tab/>
        <w:t xml:space="preserve">Schema de personal mai cuprinde trei angajaţi ca personal conex (un agent procedural, un aprod şi un şofer) şi încă un angajat contractual în funcţia de muncitor calificat. </w:t>
      </w:r>
    </w:p>
    <w:p w:rsidR="00A7137C" w:rsidRPr="0097093F" w:rsidRDefault="00A7137C" w:rsidP="00A7137C">
      <w:pPr>
        <w:jc w:val="both"/>
        <w:rPr>
          <w:b/>
        </w:rPr>
      </w:pPr>
    </w:p>
    <w:p w:rsidR="00A7137C" w:rsidRPr="00BE5132" w:rsidRDefault="00A7137C" w:rsidP="00D56D59">
      <w:pPr>
        <w:jc w:val="center"/>
        <w:rPr>
          <w:b/>
        </w:rPr>
      </w:pPr>
      <w:r w:rsidRPr="00BE5132">
        <w:rPr>
          <w:b/>
        </w:rPr>
        <w:t>II.2. Situaţia sancţiunilor disciplinare şi penale aplicate în cursul anului 2019 pe fiecare categorie de personal</w:t>
      </w:r>
    </w:p>
    <w:p w:rsidR="00A7137C" w:rsidRPr="00BE5132" w:rsidRDefault="00A7137C" w:rsidP="00A7137C">
      <w:pPr>
        <w:ind w:left="60"/>
        <w:jc w:val="both"/>
        <w:rPr>
          <w:b/>
        </w:rPr>
      </w:pPr>
    </w:p>
    <w:p w:rsidR="00D56D59" w:rsidRDefault="00D56D59" w:rsidP="00A7137C">
      <w:pPr>
        <w:ind w:firstLine="708"/>
        <w:jc w:val="both"/>
        <w:rPr>
          <w:b/>
        </w:rPr>
      </w:pPr>
    </w:p>
    <w:p w:rsidR="00A7137C" w:rsidRPr="00BE5132" w:rsidRDefault="00A7137C" w:rsidP="00A7137C">
      <w:pPr>
        <w:ind w:firstLine="708"/>
        <w:jc w:val="both"/>
        <w:rPr>
          <w:b/>
        </w:rPr>
      </w:pPr>
      <w:r w:rsidRPr="00BE5132">
        <w:rPr>
          <w:b/>
        </w:rPr>
        <w:t>Răspunderea disciplinară a judecătorilor şi a personalului auxiliar</w:t>
      </w:r>
    </w:p>
    <w:p w:rsidR="00A7137C" w:rsidRPr="00BE5132" w:rsidRDefault="00A7137C" w:rsidP="00A7137C">
      <w:pPr>
        <w:jc w:val="both"/>
        <w:rPr>
          <w:i/>
        </w:rPr>
      </w:pPr>
      <w:r w:rsidRPr="00BE5132">
        <w:rPr>
          <w:i/>
        </w:rPr>
        <w:tab/>
      </w:r>
    </w:p>
    <w:p w:rsidR="00A7137C" w:rsidRPr="00BE5132" w:rsidRDefault="00A7137C" w:rsidP="00A7137C">
      <w:pPr>
        <w:ind w:firstLine="708"/>
        <w:jc w:val="both"/>
      </w:pPr>
      <w:r w:rsidRPr="00BE5132">
        <w:t>În anul 2020 judecătorii şi ceilalţi angajaţi ai instanţei au respectat normele legale, pe cele ale regulamentului şi pe cele privind deontologia şi etica profesională, manifestând interes pentru creşterea performanţei şi a responsabilităţii, a imaginii justiţiei</w:t>
      </w:r>
      <w:r w:rsidR="00D56D59">
        <w:t>,</w:t>
      </w:r>
      <w:r w:rsidRPr="00BE5132">
        <w:t xml:space="preserve"> în ansamblu</w:t>
      </w:r>
      <w:r w:rsidR="00D56D59">
        <w:t>,</w:t>
      </w:r>
      <w:r w:rsidRPr="00BE5132">
        <w:t xml:space="preserve"> şi exercitându-şi, cu bună-credinţă şi eficienţă, atribuţiile de serviciu ce le sunt stabilite prin lege sau le-au fost date de</w:t>
      </w:r>
      <w:r w:rsidR="00D56D59">
        <w:t xml:space="preserve"> către </w:t>
      </w:r>
      <w:r w:rsidRPr="00BE5132">
        <w:t>conducerea instanţei.</w:t>
      </w:r>
    </w:p>
    <w:p w:rsidR="00A7137C" w:rsidRDefault="00A7137C" w:rsidP="00A7137C">
      <w:pPr>
        <w:jc w:val="both"/>
      </w:pPr>
      <w:r w:rsidRPr="00BE5132">
        <w:tab/>
        <w:t xml:space="preserve">La nivelul </w:t>
      </w:r>
      <w:r>
        <w:t xml:space="preserve">Judecătoriei Curtea de Argeş nu au existat situaţii de declanşare a acţiunii în răspundere disciplinară pentru nicio categorie de personal. </w:t>
      </w:r>
    </w:p>
    <w:p w:rsidR="00A7137C" w:rsidRPr="00BE5132" w:rsidRDefault="00A7137C" w:rsidP="00A7137C">
      <w:pPr>
        <w:jc w:val="both"/>
      </w:pPr>
    </w:p>
    <w:p w:rsidR="00A7137C" w:rsidRPr="00BE5132" w:rsidRDefault="00A7137C" w:rsidP="00A7137C">
      <w:pPr>
        <w:ind w:firstLine="708"/>
        <w:jc w:val="both"/>
      </w:pPr>
      <w:r w:rsidRPr="00BE5132">
        <w:rPr>
          <w:b/>
        </w:rPr>
        <w:t xml:space="preserve">Răspunderea penală a judecătorilor şi personalului auxiliar </w:t>
      </w:r>
    </w:p>
    <w:p w:rsidR="00A7137C" w:rsidRPr="00BE5132" w:rsidRDefault="00A7137C" w:rsidP="00A7137C">
      <w:pPr>
        <w:jc w:val="both"/>
      </w:pPr>
      <w:r w:rsidRPr="00BE5132">
        <w:tab/>
      </w:r>
    </w:p>
    <w:p w:rsidR="00A7137C" w:rsidRPr="00BE5132" w:rsidRDefault="00A7137C" w:rsidP="00A7137C">
      <w:pPr>
        <w:ind w:firstLine="708"/>
        <w:jc w:val="both"/>
      </w:pPr>
      <w:r w:rsidRPr="00BE5132">
        <w:t xml:space="preserve">Aşa cum s-a detaliat la punctul anterior, personalul instanţei a fost integru, îndeplinindu-şi cu conştiinciozitate atribuţiile de serviciu şi nefiind implicat în cauze de natură penală care să atragă răspunderea juridică. </w:t>
      </w:r>
    </w:p>
    <w:p w:rsidR="00A7137C" w:rsidRPr="00BE5132" w:rsidRDefault="00A7137C" w:rsidP="00A7137C">
      <w:pPr>
        <w:jc w:val="both"/>
      </w:pPr>
      <w:r w:rsidRPr="00BE5132">
        <w:tab/>
        <w:t>Probabil că au mai fost situaţii în care unii justiţiabili nemulţumiţi de soluţiile pronunţate au formulat plângeri penale împotriva judecătorilor sau grefierilor la organul de urmărire penală, însă până în prezent nu s-a declanşat urmărirea penală împotriva vreunui angajat al instanţei.</w:t>
      </w:r>
    </w:p>
    <w:p w:rsidR="00A7137C" w:rsidRPr="00BE5132" w:rsidRDefault="00A7137C" w:rsidP="00A7137C">
      <w:pPr>
        <w:jc w:val="both"/>
      </w:pPr>
    </w:p>
    <w:p w:rsidR="00A7137C" w:rsidRPr="00BE5132" w:rsidRDefault="00A7137C" w:rsidP="00A7137C">
      <w:pPr>
        <w:jc w:val="both"/>
        <w:rPr>
          <w:b/>
        </w:rPr>
      </w:pPr>
    </w:p>
    <w:p w:rsidR="00A7137C" w:rsidRPr="002F5F22" w:rsidRDefault="00A7137C" w:rsidP="00A7137C">
      <w:pPr>
        <w:ind w:left="708" w:firstLine="708"/>
        <w:jc w:val="both"/>
        <w:rPr>
          <w:b/>
          <w:color w:val="FF0000"/>
        </w:rPr>
      </w:pPr>
    </w:p>
    <w:p w:rsidR="00A7137C" w:rsidRPr="002F5F22" w:rsidRDefault="00A7137C" w:rsidP="00A7137C">
      <w:pPr>
        <w:ind w:left="708" w:firstLine="708"/>
        <w:jc w:val="both"/>
        <w:rPr>
          <w:b/>
          <w:color w:val="FF0000"/>
        </w:rPr>
      </w:pPr>
    </w:p>
    <w:p w:rsidR="00A7137C" w:rsidRPr="002F5F22" w:rsidRDefault="00A7137C" w:rsidP="00A7137C">
      <w:pPr>
        <w:ind w:left="708" w:firstLine="708"/>
        <w:jc w:val="both"/>
        <w:rPr>
          <w:b/>
          <w:color w:val="FF0000"/>
        </w:rPr>
      </w:pPr>
    </w:p>
    <w:p w:rsidR="00A7137C" w:rsidRPr="002F5F22" w:rsidRDefault="00A7137C" w:rsidP="00A7137C">
      <w:pPr>
        <w:ind w:left="708" w:firstLine="708"/>
        <w:jc w:val="both"/>
        <w:rPr>
          <w:b/>
          <w:color w:val="FF0000"/>
        </w:rPr>
      </w:pPr>
    </w:p>
    <w:p w:rsidR="00A7137C" w:rsidRPr="002F5F22" w:rsidRDefault="00A7137C" w:rsidP="00A7137C">
      <w:pPr>
        <w:ind w:left="708" w:firstLine="708"/>
        <w:jc w:val="both"/>
        <w:rPr>
          <w:b/>
          <w:color w:val="FF0000"/>
        </w:rPr>
      </w:pPr>
    </w:p>
    <w:p w:rsidR="00A7137C" w:rsidRPr="002F5F22" w:rsidRDefault="00A7137C" w:rsidP="00A7137C">
      <w:pPr>
        <w:ind w:left="708" w:firstLine="708"/>
        <w:jc w:val="both"/>
        <w:rPr>
          <w:b/>
          <w:color w:val="FF0000"/>
        </w:rPr>
      </w:pPr>
    </w:p>
    <w:p w:rsidR="00A7137C" w:rsidRPr="002F5F22" w:rsidRDefault="00A7137C" w:rsidP="00A7137C">
      <w:pPr>
        <w:ind w:left="708" w:firstLine="708"/>
        <w:jc w:val="both"/>
        <w:rPr>
          <w:b/>
          <w:color w:val="FF0000"/>
        </w:rPr>
      </w:pPr>
    </w:p>
    <w:p w:rsidR="00A7137C" w:rsidRPr="002F5F22" w:rsidRDefault="00A7137C" w:rsidP="00A7137C">
      <w:pPr>
        <w:jc w:val="center"/>
        <w:rPr>
          <w:b/>
          <w:color w:val="FF0000"/>
        </w:rPr>
      </w:pPr>
    </w:p>
    <w:p w:rsidR="00D56D59" w:rsidRDefault="00C873F8" w:rsidP="00C873F8">
      <w:pPr>
        <w:jc w:val="center"/>
        <w:rPr>
          <w:b/>
          <w:sz w:val="28"/>
          <w:szCs w:val="28"/>
        </w:rPr>
      </w:pPr>
      <w:r>
        <w:rPr>
          <w:b/>
          <w:sz w:val="28"/>
          <w:szCs w:val="28"/>
        </w:rPr>
        <w:lastRenderedPageBreak/>
        <w:t xml:space="preserve">III. </w:t>
      </w:r>
      <w:r w:rsidRPr="00D50342">
        <w:rPr>
          <w:b/>
          <w:sz w:val="28"/>
          <w:szCs w:val="28"/>
        </w:rPr>
        <w:t>MĂSURILE ADMINISTRATIVE</w:t>
      </w:r>
      <w:r w:rsidR="00D56D59">
        <w:rPr>
          <w:b/>
          <w:sz w:val="28"/>
          <w:szCs w:val="28"/>
        </w:rPr>
        <w:t xml:space="preserve"> </w:t>
      </w:r>
      <w:r w:rsidRPr="00D50342">
        <w:rPr>
          <w:b/>
          <w:sz w:val="28"/>
          <w:szCs w:val="28"/>
        </w:rPr>
        <w:t>DISPUSE ÎN PERIOADA</w:t>
      </w:r>
    </w:p>
    <w:p w:rsidR="00C873F8" w:rsidRPr="00D50342" w:rsidRDefault="00C873F8" w:rsidP="00C873F8">
      <w:pPr>
        <w:jc w:val="center"/>
        <w:rPr>
          <w:b/>
          <w:sz w:val="28"/>
          <w:szCs w:val="28"/>
        </w:rPr>
      </w:pPr>
      <w:r w:rsidRPr="00D50342">
        <w:rPr>
          <w:b/>
          <w:sz w:val="28"/>
          <w:szCs w:val="28"/>
        </w:rPr>
        <w:t>STĂRII DE URGENŢĂ</w:t>
      </w:r>
      <w:r>
        <w:rPr>
          <w:b/>
          <w:sz w:val="28"/>
          <w:szCs w:val="28"/>
        </w:rPr>
        <w:t xml:space="preserve"> ŞI </w:t>
      </w:r>
      <w:r w:rsidRPr="00D50342">
        <w:rPr>
          <w:b/>
          <w:sz w:val="28"/>
          <w:szCs w:val="28"/>
        </w:rPr>
        <w:t>STĂRII DE ALERTĂ LA NIVELUL INSTANŢE</w:t>
      </w:r>
      <w:r>
        <w:rPr>
          <w:b/>
          <w:sz w:val="28"/>
          <w:szCs w:val="28"/>
        </w:rPr>
        <w:t>I ȘI EFECTELE ACESTORA</w:t>
      </w:r>
    </w:p>
    <w:p w:rsidR="00C873F8" w:rsidRDefault="00C873F8" w:rsidP="00C873F8">
      <w:pPr>
        <w:ind w:left="720"/>
        <w:jc w:val="both"/>
        <w:rPr>
          <w:rFonts w:ascii="Times New (W1)" w:hAnsi="Times New (W1)"/>
          <w:caps/>
          <w:color w:val="FF0000"/>
          <w:sz w:val="32"/>
          <w:szCs w:val="32"/>
        </w:rPr>
      </w:pPr>
    </w:p>
    <w:p w:rsidR="00C873F8" w:rsidRPr="00B64171" w:rsidRDefault="00C873F8" w:rsidP="00C873F8">
      <w:pPr>
        <w:ind w:left="720"/>
        <w:jc w:val="both"/>
        <w:rPr>
          <w:rFonts w:ascii="Times New (W1)" w:hAnsi="Times New (W1)"/>
          <w:caps/>
          <w:sz w:val="32"/>
          <w:szCs w:val="32"/>
        </w:rPr>
      </w:pPr>
    </w:p>
    <w:p w:rsidR="00C873F8" w:rsidRPr="00B64171" w:rsidRDefault="00C873F8" w:rsidP="00C873F8">
      <w:pPr>
        <w:ind w:firstLine="720"/>
        <w:jc w:val="both"/>
        <w:rPr>
          <w:rFonts w:ascii="Times New (W1)" w:hAnsi="Times New (W1)"/>
        </w:rPr>
      </w:pPr>
      <w:r w:rsidRPr="00B64171">
        <w:rPr>
          <w:rFonts w:ascii="Times New (W1)" w:hAnsi="Times New (W1)"/>
        </w:rPr>
        <w:t xml:space="preserve">Încă din primele momente în care mass-media semnala apariția primelor cazuri de </w:t>
      </w:r>
      <w:r w:rsidR="009B1DD4" w:rsidRPr="00B64171">
        <w:rPr>
          <w:rFonts w:ascii="Times New (W1)" w:hAnsi="Times New (W1)"/>
        </w:rPr>
        <w:t xml:space="preserve">COVID 19 în România </w:t>
      </w:r>
      <w:r w:rsidR="002077E3" w:rsidRPr="00B64171">
        <w:rPr>
          <w:rFonts w:ascii="Times New (W1)" w:hAnsi="Times New (W1)"/>
        </w:rPr>
        <w:t xml:space="preserve">(sfârșitul lunii februarie 2020) conducerea </w:t>
      </w:r>
      <w:r w:rsidR="009B1DD4" w:rsidRPr="00B64171">
        <w:rPr>
          <w:rFonts w:ascii="Times New (W1)" w:hAnsi="Times New (W1)"/>
        </w:rPr>
        <w:t>Judecătoriei Curtea de Argeș a organizat ședințe cu angajații</w:t>
      </w:r>
      <w:r w:rsidR="002077E3" w:rsidRPr="00B64171">
        <w:rPr>
          <w:rFonts w:ascii="Times New (W1)" w:hAnsi="Times New (W1)"/>
        </w:rPr>
        <w:t xml:space="preserve">, reprezentanții </w:t>
      </w:r>
      <w:r w:rsidR="00D56D59">
        <w:rPr>
          <w:rFonts w:ascii="Times New (W1)" w:hAnsi="Times New (W1)"/>
        </w:rPr>
        <w:t xml:space="preserve">Baroului Argeş – Biroul Colectiv Curtea de Argeş </w:t>
      </w:r>
      <w:r w:rsidR="002077E3" w:rsidRPr="00B64171">
        <w:rPr>
          <w:rFonts w:ascii="Times New (W1)" w:hAnsi="Times New (W1)"/>
        </w:rPr>
        <w:t>și consilierul din cadrul Serviciului de Probațiune Argeș care își desfășoară activitatea în sediul instanței</w:t>
      </w:r>
      <w:r w:rsidR="00D56D59">
        <w:rPr>
          <w:rFonts w:ascii="Times New (W1)" w:hAnsi="Times New (W1)"/>
        </w:rPr>
        <w:t>,</w:t>
      </w:r>
      <w:r w:rsidR="002077E3" w:rsidRPr="00B64171">
        <w:rPr>
          <w:rFonts w:ascii="Times New (W1)" w:hAnsi="Times New (W1)"/>
        </w:rPr>
        <w:t xml:space="preserve"> </w:t>
      </w:r>
      <w:r w:rsidR="009B1DD4" w:rsidRPr="00B64171">
        <w:rPr>
          <w:rFonts w:ascii="Times New (W1)" w:hAnsi="Times New (W1)"/>
        </w:rPr>
        <w:t xml:space="preserve">având ca scop adoptarea unor măsuri de natură a preîntâmpina </w:t>
      </w:r>
      <w:r w:rsidR="002077E3" w:rsidRPr="00B64171">
        <w:rPr>
          <w:rFonts w:ascii="Times New (W1)" w:hAnsi="Times New (W1)"/>
        </w:rPr>
        <w:t>răspândirea virusului.</w:t>
      </w:r>
    </w:p>
    <w:p w:rsidR="002077E3" w:rsidRPr="00B64171" w:rsidRDefault="002077E3" w:rsidP="00C873F8">
      <w:pPr>
        <w:ind w:firstLine="720"/>
        <w:jc w:val="both"/>
        <w:rPr>
          <w:rFonts w:ascii="Times New (W1)" w:hAnsi="Times New (W1)"/>
        </w:rPr>
      </w:pPr>
      <w:r w:rsidRPr="00B64171">
        <w:rPr>
          <w:rFonts w:ascii="Times New (W1)" w:hAnsi="Times New (W1)"/>
        </w:rPr>
        <w:t>Au fost discutate toate măsurile de prevenție semnalate de organele abilitate și puse în practică o parte dintre acestea.</w:t>
      </w:r>
    </w:p>
    <w:p w:rsidR="00DF23B3" w:rsidRPr="00B64171" w:rsidRDefault="002077E3" w:rsidP="00C873F8">
      <w:pPr>
        <w:ind w:firstLine="720"/>
        <w:jc w:val="both"/>
        <w:rPr>
          <w:rFonts w:ascii="Times New (W1)" w:hAnsi="Times New (W1)"/>
        </w:rPr>
      </w:pPr>
      <w:r w:rsidRPr="00B64171">
        <w:rPr>
          <w:rFonts w:ascii="Times New (W1)" w:hAnsi="Times New (W1)"/>
        </w:rPr>
        <w:t xml:space="preserve">Astfel, prin eforturi comune au fost achiziționate și distribuite încă din primele zile ale lunii martie </w:t>
      </w:r>
      <w:r w:rsidR="00DF23B3" w:rsidRPr="00B64171">
        <w:rPr>
          <w:rFonts w:ascii="Times New (W1)" w:hAnsi="Times New (W1)"/>
        </w:rPr>
        <w:t>următoarele produse destinate igienizării și dezinfectării:</w:t>
      </w:r>
    </w:p>
    <w:p w:rsidR="002077E3" w:rsidRPr="00B64171" w:rsidRDefault="00DF23B3" w:rsidP="00A74BC2">
      <w:pPr>
        <w:pStyle w:val="Listparagraf"/>
        <w:numPr>
          <w:ilvl w:val="0"/>
          <w:numId w:val="48"/>
        </w:numPr>
        <w:ind w:left="709" w:hanging="425"/>
        <w:jc w:val="both"/>
        <w:rPr>
          <w:rFonts w:ascii="Times New (W1)" w:hAnsi="Times New (W1)"/>
        </w:rPr>
      </w:pPr>
      <w:r w:rsidRPr="00B64171">
        <w:rPr>
          <w:rFonts w:ascii="Times New (W1)" w:hAnsi="Times New (W1)"/>
        </w:rPr>
        <w:t>Igienizant de mâini pe bază de alcool etilic K-</w:t>
      </w:r>
      <w:r w:rsidR="00A74BC2">
        <w:rPr>
          <w:rFonts w:ascii="Times New (W1)" w:hAnsi="Times New (W1)"/>
        </w:rPr>
        <w:t>SEPT</w:t>
      </w:r>
      <w:r w:rsidRPr="00B64171">
        <w:rPr>
          <w:rFonts w:ascii="Times New (W1)" w:hAnsi="Times New (W1)"/>
        </w:rPr>
        <w:t xml:space="preserve"> (20 litri: 10 litri </w:t>
      </w:r>
      <w:r w:rsidR="00A74BC2">
        <w:rPr>
          <w:rFonts w:ascii="Times New (W1)" w:hAnsi="Times New (W1)"/>
        </w:rPr>
        <w:t xml:space="preserve">de </w:t>
      </w:r>
      <w:r w:rsidRPr="00B64171">
        <w:rPr>
          <w:rFonts w:ascii="Times New (W1)" w:hAnsi="Times New (W1)"/>
        </w:rPr>
        <w:t>angajații instanței</w:t>
      </w:r>
      <w:r w:rsidR="00A74BC2">
        <w:rPr>
          <w:rFonts w:ascii="Times New (W1)" w:hAnsi="Times New (W1)"/>
        </w:rPr>
        <w:t xml:space="preserve"> şi </w:t>
      </w:r>
      <w:r w:rsidRPr="00B64171">
        <w:rPr>
          <w:rFonts w:ascii="Times New (W1)" w:hAnsi="Times New (W1)"/>
        </w:rPr>
        <w:t xml:space="preserve">10 litri </w:t>
      </w:r>
      <w:r w:rsidR="00A74BC2">
        <w:rPr>
          <w:rFonts w:ascii="Times New (W1)" w:hAnsi="Times New (W1)"/>
        </w:rPr>
        <w:t>de către avocaţi</w:t>
      </w:r>
      <w:r w:rsidRPr="00B64171">
        <w:rPr>
          <w:rFonts w:ascii="Times New (W1)" w:hAnsi="Times New (W1)"/>
        </w:rPr>
        <w:t>). Și în prezent mai avem și folosim acest dezinfectan</w:t>
      </w:r>
      <w:r w:rsidR="00A74BC2">
        <w:rPr>
          <w:rFonts w:ascii="Times New (W1)" w:hAnsi="Times New (W1)"/>
        </w:rPr>
        <w:t>t care a produs efectele dorite;</w:t>
      </w:r>
    </w:p>
    <w:p w:rsidR="00DF23B3" w:rsidRPr="00B64171" w:rsidRDefault="00DF23B3" w:rsidP="00A74BC2">
      <w:pPr>
        <w:pStyle w:val="Listparagraf"/>
        <w:numPr>
          <w:ilvl w:val="0"/>
          <w:numId w:val="48"/>
        </w:numPr>
        <w:ind w:left="709" w:hanging="425"/>
        <w:jc w:val="both"/>
        <w:rPr>
          <w:rFonts w:ascii="Times New (W1)" w:hAnsi="Times New (W1)"/>
        </w:rPr>
      </w:pPr>
      <w:r w:rsidRPr="00B64171">
        <w:rPr>
          <w:rFonts w:ascii="Times New (W1)" w:hAnsi="Times New (W1)"/>
        </w:rPr>
        <w:t>Recipiente din plastic cu po</w:t>
      </w:r>
      <w:r w:rsidR="00A74BC2">
        <w:rPr>
          <w:rFonts w:ascii="Times New (W1)" w:hAnsi="Times New (W1)"/>
        </w:rPr>
        <w:t>m</w:t>
      </w:r>
      <w:r w:rsidRPr="00B64171">
        <w:rPr>
          <w:rFonts w:ascii="Times New (W1)" w:hAnsi="Times New (W1)"/>
        </w:rPr>
        <w:t>pă (10 bucăți) care sunt umplute periodic cu substanțe igienizante de mâini sau spirt și care sunt așezate în diverse locații din instanță;</w:t>
      </w:r>
    </w:p>
    <w:p w:rsidR="00DF23B3" w:rsidRPr="00B64171" w:rsidRDefault="00DF23B3" w:rsidP="00A74BC2">
      <w:pPr>
        <w:pStyle w:val="Listparagraf"/>
        <w:numPr>
          <w:ilvl w:val="0"/>
          <w:numId w:val="48"/>
        </w:numPr>
        <w:ind w:left="709" w:hanging="425"/>
        <w:jc w:val="both"/>
        <w:rPr>
          <w:rFonts w:ascii="Times New (W1)" w:hAnsi="Times New (W1)"/>
        </w:rPr>
      </w:pPr>
      <w:r w:rsidRPr="00B64171">
        <w:rPr>
          <w:rFonts w:ascii="Times New (W1)" w:hAnsi="Times New (W1)"/>
        </w:rPr>
        <w:t xml:space="preserve">Tăvițe din plastic (5 bucăți) montate la toate punctele de acces în cele </w:t>
      </w:r>
      <w:r w:rsidR="00A74BC2">
        <w:rPr>
          <w:rFonts w:ascii="Times New (W1)" w:hAnsi="Times New (W1)"/>
        </w:rPr>
        <w:t>două c</w:t>
      </w:r>
      <w:r w:rsidRPr="00B64171">
        <w:rPr>
          <w:rFonts w:ascii="Times New (W1)" w:hAnsi="Times New (W1)"/>
        </w:rPr>
        <w:t xml:space="preserve">orpuri </w:t>
      </w:r>
      <w:r w:rsidR="00A74BC2">
        <w:rPr>
          <w:rFonts w:ascii="Times New (W1)" w:hAnsi="Times New (W1)"/>
        </w:rPr>
        <w:t xml:space="preserve">de clădire </w:t>
      </w:r>
      <w:r w:rsidRPr="00B64171">
        <w:rPr>
          <w:rFonts w:ascii="Times New (W1)" w:hAnsi="Times New (W1)"/>
        </w:rPr>
        <w:t>ale instanței și în care au fost puse articole textile îmbibate în substanțe cu concentrație ridicată de clor</w:t>
      </w:r>
      <w:r w:rsidR="00A74BC2">
        <w:rPr>
          <w:rFonts w:ascii="Times New (W1)" w:hAnsi="Times New (W1)"/>
        </w:rPr>
        <w:t>,</w:t>
      </w:r>
      <w:r w:rsidRPr="00B64171">
        <w:rPr>
          <w:rFonts w:ascii="Times New (W1)" w:hAnsi="Times New (W1)"/>
        </w:rPr>
        <w:t xml:space="preserve"> în scopul dezinfectării tălpilor articolelor de încălțăminte;</w:t>
      </w:r>
    </w:p>
    <w:p w:rsidR="00DF23B3" w:rsidRPr="00B64171" w:rsidRDefault="00DF23B3" w:rsidP="00A74BC2">
      <w:pPr>
        <w:pStyle w:val="Listparagraf"/>
        <w:numPr>
          <w:ilvl w:val="0"/>
          <w:numId w:val="48"/>
        </w:numPr>
        <w:ind w:left="709" w:hanging="425"/>
        <w:jc w:val="both"/>
        <w:rPr>
          <w:rFonts w:ascii="Times New (W1)" w:hAnsi="Times New (W1)"/>
        </w:rPr>
      </w:pPr>
      <w:r w:rsidRPr="00B64171">
        <w:rPr>
          <w:rFonts w:ascii="Times New (W1)" w:hAnsi="Times New (W1)"/>
        </w:rPr>
        <w:t>Clor sau substanțe cu concentrație ridicată de clor (peste 10 litri);</w:t>
      </w:r>
    </w:p>
    <w:p w:rsidR="00DF23B3" w:rsidRPr="00B64171" w:rsidRDefault="00DF23B3" w:rsidP="00A74BC2">
      <w:pPr>
        <w:pStyle w:val="Listparagraf"/>
        <w:numPr>
          <w:ilvl w:val="0"/>
          <w:numId w:val="48"/>
        </w:numPr>
        <w:ind w:left="709" w:hanging="425"/>
        <w:jc w:val="both"/>
        <w:rPr>
          <w:rFonts w:ascii="Times New (W1)" w:hAnsi="Times New (W1)"/>
        </w:rPr>
      </w:pPr>
      <w:r w:rsidRPr="00B64171">
        <w:rPr>
          <w:rFonts w:ascii="Times New (W1)" w:hAnsi="Times New (W1)"/>
        </w:rPr>
        <w:t>Mănuși de unică folosință similare celor distribuite gratis în stațiile de alimentare cu combustibil auto (peste 5000 bucăți) care au fost distribuite gratis</w:t>
      </w:r>
      <w:r w:rsidR="00A74BC2">
        <w:rPr>
          <w:rFonts w:ascii="Times New (W1)" w:hAnsi="Times New (W1)"/>
        </w:rPr>
        <w:t>,</w:t>
      </w:r>
      <w:r w:rsidRPr="00B64171">
        <w:rPr>
          <w:rFonts w:ascii="Times New (W1)" w:hAnsi="Times New (W1)"/>
        </w:rPr>
        <w:t xml:space="preserve"> inclusiv justițiabililor care nu aveau asemenea mijloace de protecție și care au acceptat purtarea lor.</w:t>
      </w:r>
    </w:p>
    <w:p w:rsidR="00C42494" w:rsidRPr="00B64171" w:rsidRDefault="00C42494" w:rsidP="00A74BC2">
      <w:pPr>
        <w:pStyle w:val="Listparagraf"/>
        <w:numPr>
          <w:ilvl w:val="0"/>
          <w:numId w:val="48"/>
        </w:numPr>
        <w:ind w:left="709" w:hanging="425"/>
        <w:jc w:val="both"/>
        <w:rPr>
          <w:rFonts w:ascii="Times New (W1)" w:hAnsi="Times New (W1)"/>
        </w:rPr>
      </w:pPr>
      <w:r w:rsidRPr="00B64171">
        <w:rPr>
          <w:rFonts w:ascii="Times New (W1)" w:hAnsi="Times New (W1)"/>
        </w:rPr>
        <w:t>Un termometru cu scana</w:t>
      </w:r>
      <w:r w:rsidR="00A74BC2">
        <w:rPr>
          <w:rFonts w:ascii="Times New (W1)" w:hAnsi="Times New (W1)"/>
        </w:rPr>
        <w:t xml:space="preserve">re </w:t>
      </w:r>
      <w:r w:rsidRPr="00B64171">
        <w:rPr>
          <w:rFonts w:ascii="Times New (W1)" w:hAnsi="Times New (W1)"/>
        </w:rPr>
        <w:t>termică a temperaturii</w:t>
      </w:r>
      <w:r w:rsidR="00B73331" w:rsidRPr="00B64171">
        <w:rPr>
          <w:rFonts w:ascii="Times New (W1)" w:hAnsi="Times New (W1)"/>
        </w:rPr>
        <w:t>.</w:t>
      </w:r>
    </w:p>
    <w:p w:rsidR="00DF23B3" w:rsidRPr="00B64171" w:rsidRDefault="00DF23B3" w:rsidP="00DF23B3">
      <w:pPr>
        <w:ind w:firstLine="720"/>
        <w:jc w:val="both"/>
        <w:rPr>
          <w:rFonts w:ascii="Times New (W1)" w:hAnsi="Times New (W1)"/>
        </w:rPr>
      </w:pPr>
      <w:r w:rsidRPr="00B64171">
        <w:rPr>
          <w:rFonts w:ascii="Times New (W1)" w:hAnsi="Times New (W1)"/>
        </w:rPr>
        <w:t>Fiecare angajat și-a achiziționat individual măști de protecție facială</w:t>
      </w:r>
      <w:r w:rsidR="00A74BC2">
        <w:rPr>
          <w:rFonts w:ascii="Times New (W1)" w:hAnsi="Times New (W1)"/>
        </w:rPr>
        <w:t xml:space="preserve"> şi </w:t>
      </w:r>
      <w:r w:rsidRPr="00B64171">
        <w:rPr>
          <w:rFonts w:ascii="Times New (W1)" w:hAnsi="Times New (W1)"/>
        </w:rPr>
        <w:t>viziere</w:t>
      </w:r>
      <w:r w:rsidR="00A74BC2">
        <w:rPr>
          <w:rFonts w:ascii="Times New (W1)" w:hAnsi="Times New (W1)"/>
        </w:rPr>
        <w:t>,</w:t>
      </w:r>
      <w:r w:rsidRPr="00B64171">
        <w:rPr>
          <w:rFonts w:ascii="Times New (W1)" w:hAnsi="Times New (W1)"/>
        </w:rPr>
        <w:t xml:space="preserve"> iar o parte chiar și combinezoane de protecție</w:t>
      </w:r>
      <w:r w:rsidR="00577B80" w:rsidRPr="00B64171">
        <w:rPr>
          <w:rFonts w:ascii="Times New (W1)" w:hAnsi="Times New (W1)"/>
        </w:rPr>
        <w:t xml:space="preserve"> din material impermeabil.</w:t>
      </w:r>
    </w:p>
    <w:p w:rsidR="002955CF" w:rsidRPr="00B64171" w:rsidRDefault="002955CF" w:rsidP="00DF23B3">
      <w:pPr>
        <w:ind w:firstLine="720"/>
        <w:jc w:val="both"/>
        <w:rPr>
          <w:rFonts w:ascii="Times New (W1)" w:hAnsi="Times New (W1)"/>
        </w:rPr>
      </w:pPr>
      <w:r w:rsidRPr="00B64171">
        <w:rPr>
          <w:rFonts w:ascii="Times New (W1)" w:hAnsi="Times New (W1)"/>
        </w:rPr>
        <w:t>Simultan au fost dispuse alte măsuri de prevenție</w:t>
      </w:r>
      <w:r w:rsidR="00A74BC2">
        <w:rPr>
          <w:rFonts w:ascii="Times New (W1)" w:hAnsi="Times New (W1)"/>
        </w:rPr>
        <w:t>,</w:t>
      </w:r>
      <w:r w:rsidRPr="00B64171">
        <w:rPr>
          <w:rFonts w:ascii="Times New (W1)" w:hAnsi="Times New (W1)"/>
        </w:rPr>
        <w:t xml:space="preserve"> precum aerisirea fiecărui birou și a sălilor de judecată la intervale scurte de timp, asigurarea unor căi de acces în instanță distincte pentru justiţiabili şi avocaţi</w:t>
      </w:r>
      <w:r w:rsidR="00A74BC2">
        <w:rPr>
          <w:rFonts w:ascii="Times New (W1)" w:hAnsi="Times New (W1)"/>
        </w:rPr>
        <w:t>,</w:t>
      </w:r>
      <w:r w:rsidRPr="00B64171">
        <w:rPr>
          <w:rFonts w:ascii="Times New (W1)" w:hAnsi="Times New (W1)"/>
        </w:rPr>
        <w:t xml:space="preserve"> pe de o parte</w:t>
      </w:r>
      <w:r w:rsidR="00A74BC2">
        <w:rPr>
          <w:rFonts w:ascii="Times New (W1)" w:hAnsi="Times New (W1)"/>
        </w:rPr>
        <w:t>,</w:t>
      </w:r>
      <w:r w:rsidRPr="00B64171">
        <w:rPr>
          <w:rFonts w:ascii="Times New (W1)" w:hAnsi="Times New (W1)"/>
        </w:rPr>
        <w:t xml:space="preserve"> şi angajaţi</w:t>
      </w:r>
      <w:r w:rsidR="00A74BC2">
        <w:rPr>
          <w:rFonts w:ascii="Times New (W1)" w:hAnsi="Times New (W1)"/>
        </w:rPr>
        <w:t>,</w:t>
      </w:r>
      <w:r w:rsidRPr="00B64171">
        <w:rPr>
          <w:rFonts w:ascii="Times New (W1)" w:hAnsi="Times New (W1)"/>
        </w:rPr>
        <w:t xml:space="preserve"> pe de altă parte, redistribuirea angajaţilor în birouri astfel încât în fiecare încăpere să lucreze </w:t>
      </w:r>
      <w:r w:rsidR="00A74BC2">
        <w:rPr>
          <w:rFonts w:ascii="Times New (W1)" w:hAnsi="Times New (W1)"/>
        </w:rPr>
        <w:t xml:space="preserve">una sau </w:t>
      </w:r>
      <w:r w:rsidRPr="00B64171">
        <w:rPr>
          <w:rFonts w:ascii="Times New (W1)" w:hAnsi="Times New (W1)"/>
        </w:rPr>
        <w:t>maxim</w:t>
      </w:r>
      <w:r w:rsidR="00A74BC2">
        <w:rPr>
          <w:rFonts w:ascii="Times New (W1)" w:hAnsi="Times New (W1)"/>
        </w:rPr>
        <w:t xml:space="preserve"> două p</w:t>
      </w:r>
      <w:r w:rsidRPr="00B64171">
        <w:rPr>
          <w:rFonts w:ascii="Times New (W1)" w:hAnsi="Times New (W1)"/>
        </w:rPr>
        <w:t>ersoane, cu păstrarea unei distanțe de minim 2 metri între persoanele care lucrau în același birou.</w:t>
      </w:r>
    </w:p>
    <w:p w:rsidR="002955CF" w:rsidRPr="00B64171" w:rsidRDefault="0041723D" w:rsidP="00246E75">
      <w:pPr>
        <w:ind w:firstLine="720"/>
        <w:jc w:val="both"/>
        <w:rPr>
          <w:rFonts w:ascii="Times New (W1)" w:hAnsi="Times New (W1)"/>
        </w:rPr>
      </w:pPr>
      <w:r w:rsidRPr="00B64171">
        <w:rPr>
          <w:rFonts w:ascii="Times New (W1)" w:hAnsi="Times New (W1)"/>
        </w:rPr>
        <w:t xml:space="preserve">După instituirea stării de urgență au fost dispuse noi măsuri, </w:t>
      </w:r>
      <w:r w:rsidR="009F623F" w:rsidRPr="00B64171">
        <w:rPr>
          <w:rFonts w:ascii="Times New (W1)" w:hAnsi="Times New (W1)"/>
        </w:rPr>
        <w:t>inclusiv cele propuse p</w:t>
      </w:r>
      <w:r w:rsidR="00A74BC2">
        <w:rPr>
          <w:rFonts w:ascii="Times New (W1)" w:hAnsi="Times New (W1)"/>
        </w:rPr>
        <w:t>r</w:t>
      </w:r>
      <w:r w:rsidR="009F623F" w:rsidRPr="00B64171">
        <w:rPr>
          <w:rFonts w:ascii="Times New (W1)" w:hAnsi="Times New (W1)"/>
        </w:rPr>
        <w:t>in dispozițiile sau recomandărilor forurilor competente.</w:t>
      </w:r>
    </w:p>
    <w:p w:rsidR="009F623F" w:rsidRPr="00B64171" w:rsidRDefault="0065525A" w:rsidP="00DF23B3">
      <w:pPr>
        <w:ind w:firstLine="720"/>
        <w:jc w:val="both"/>
        <w:rPr>
          <w:rFonts w:ascii="Times New (W1)" w:hAnsi="Times New (W1)"/>
        </w:rPr>
      </w:pPr>
      <w:r w:rsidRPr="00B64171">
        <w:rPr>
          <w:rFonts w:ascii="Times New (W1)" w:hAnsi="Times New (W1)"/>
        </w:rPr>
        <w:t>Astfel</w:t>
      </w:r>
      <w:r w:rsidR="00AB7302" w:rsidRPr="00B64171">
        <w:rPr>
          <w:rFonts w:ascii="Times New (W1)" w:hAnsi="Times New (W1)"/>
        </w:rPr>
        <w:t>, accesul justițiabililor în instanță a fost condiționat de următoarele proceduri:</w:t>
      </w:r>
    </w:p>
    <w:p w:rsidR="00AB7302" w:rsidRPr="00B64171" w:rsidRDefault="00AB7302" w:rsidP="00A74BC2">
      <w:pPr>
        <w:pStyle w:val="Listparagraf"/>
        <w:numPr>
          <w:ilvl w:val="0"/>
          <w:numId w:val="49"/>
        </w:numPr>
        <w:ind w:left="709" w:hanging="425"/>
        <w:jc w:val="both"/>
        <w:rPr>
          <w:rFonts w:ascii="Times New (W1)" w:hAnsi="Times New (W1)"/>
        </w:rPr>
      </w:pPr>
      <w:r w:rsidRPr="00B64171">
        <w:rPr>
          <w:rFonts w:ascii="Times New (W1)" w:hAnsi="Times New (W1)"/>
        </w:rPr>
        <w:t xml:space="preserve">completarea unei declarații pe propria răspundere din care să rezulte că nu au simptome specifice infectării cu </w:t>
      </w:r>
      <w:proofErr w:type="spellStart"/>
      <w:r w:rsidRPr="00B64171">
        <w:rPr>
          <w:rFonts w:ascii="Times New (W1)" w:hAnsi="Times New (W1)"/>
        </w:rPr>
        <w:t>Covid</w:t>
      </w:r>
      <w:proofErr w:type="spellEnd"/>
      <w:r w:rsidRPr="00B64171">
        <w:rPr>
          <w:rFonts w:ascii="Times New (W1)" w:hAnsi="Times New (W1)"/>
        </w:rPr>
        <w:t xml:space="preserve"> 19, </w:t>
      </w:r>
      <w:r w:rsidR="00A74BC2">
        <w:rPr>
          <w:rFonts w:ascii="Times New (W1)" w:hAnsi="Times New (W1)"/>
        </w:rPr>
        <w:t xml:space="preserve">că </w:t>
      </w:r>
      <w:r w:rsidRPr="00B64171">
        <w:rPr>
          <w:rFonts w:ascii="Times New (W1)" w:hAnsi="Times New (W1)"/>
        </w:rPr>
        <w:t>nu au avut contact direct cu persoane infectate sau nu au călătorit în zone cu risc ridicat;</w:t>
      </w:r>
    </w:p>
    <w:p w:rsidR="00AB7302" w:rsidRPr="00B64171" w:rsidRDefault="00AB7302" w:rsidP="00A74BC2">
      <w:pPr>
        <w:pStyle w:val="Listparagraf"/>
        <w:numPr>
          <w:ilvl w:val="0"/>
          <w:numId w:val="49"/>
        </w:numPr>
        <w:ind w:left="709" w:hanging="425"/>
        <w:jc w:val="both"/>
        <w:rPr>
          <w:rFonts w:ascii="Times New (W1)" w:hAnsi="Times New (W1)"/>
        </w:rPr>
      </w:pPr>
      <w:r w:rsidRPr="00B64171">
        <w:rPr>
          <w:rFonts w:ascii="Times New (W1)" w:hAnsi="Times New (W1)"/>
        </w:rPr>
        <w:t xml:space="preserve">persoanele </w:t>
      </w:r>
      <w:r w:rsidR="00A74BC2">
        <w:rPr>
          <w:rFonts w:ascii="Times New (W1)" w:hAnsi="Times New (W1)"/>
        </w:rPr>
        <w:t xml:space="preserve">să prezinte, </w:t>
      </w:r>
      <w:r w:rsidRPr="00B64171">
        <w:rPr>
          <w:rFonts w:ascii="Times New (W1)" w:hAnsi="Times New (W1)"/>
        </w:rPr>
        <w:t>în urma scanării termice</w:t>
      </w:r>
      <w:r w:rsidR="00A74BC2">
        <w:rPr>
          <w:rFonts w:ascii="Times New (W1)" w:hAnsi="Times New (W1)"/>
        </w:rPr>
        <w:t>,</w:t>
      </w:r>
      <w:r w:rsidRPr="00B64171">
        <w:rPr>
          <w:rFonts w:ascii="Times New (W1)" w:hAnsi="Times New (W1)"/>
        </w:rPr>
        <w:t xml:space="preserve"> o temperatură a corpului de maxim 37 grade Celsius;</w:t>
      </w:r>
    </w:p>
    <w:p w:rsidR="00AB7302" w:rsidRDefault="00AB7302" w:rsidP="00A74BC2">
      <w:pPr>
        <w:pStyle w:val="Listparagraf"/>
        <w:numPr>
          <w:ilvl w:val="0"/>
          <w:numId w:val="49"/>
        </w:numPr>
        <w:ind w:left="709" w:hanging="425"/>
        <w:jc w:val="both"/>
        <w:rPr>
          <w:rFonts w:ascii="Times New (W1)" w:hAnsi="Times New (W1)"/>
        </w:rPr>
      </w:pPr>
      <w:r w:rsidRPr="00B64171">
        <w:rPr>
          <w:rFonts w:ascii="Times New (W1)" w:hAnsi="Times New (W1)"/>
        </w:rPr>
        <w:t xml:space="preserve">persoanele își dezinfectau în fața agenților de pază ai instanței mâinile, tălpile articolelor de încălțăminte, purtau mască de protecție și mănuși. Pentru cei care nu aveau asupra lor mănuși, așa cum am arătat anterior li se dădeau gratuit </w:t>
      </w:r>
      <w:r w:rsidRPr="00B64171">
        <w:rPr>
          <w:rFonts w:ascii="Times New (W1)" w:hAnsi="Times New (W1)"/>
        </w:rPr>
        <w:lastRenderedPageBreak/>
        <w:t>mănuși de protecție achiziționate anterior (și în prezent mai avem în stoc cca. 1000 buc.)</w:t>
      </w:r>
      <w:r w:rsidR="00B74574">
        <w:rPr>
          <w:rFonts w:ascii="Times New (W1)" w:hAnsi="Times New (W1)"/>
        </w:rPr>
        <w:t>.</w:t>
      </w:r>
    </w:p>
    <w:p w:rsidR="00F074B4" w:rsidRPr="00B64171" w:rsidRDefault="00AB7302" w:rsidP="00F074B4">
      <w:pPr>
        <w:ind w:firstLine="720"/>
        <w:jc w:val="both"/>
        <w:rPr>
          <w:rFonts w:ascii="Times New (W1)" w:hAnsi="Times New (W1)"/>
        </w:rPr>
      </w:pPr>
      <w:r w:rsidRPr="00B64171">
        <w:rPr>
          <w:rFonts w:ascii="Times New (W1)" w:hAnsi="Times New (W1)"/>
        </w:rPr>
        <w:t xml:space="preserve">În aceeași perioadă au fost primite la sediul instanțe materialele de protecție </w:t>
      </w:r>
      <w:r w:rsidR="00C42494" w:rsidRPr="00B64171">
        <w:rPr>
          <w:rFonts w:ascii="Times New (W1)" w:hAnsi="Times New (W1)"/>
        </w:rPr>
        <w:t>achiziționate de structurile din cadrul Ministerului Justiției</w:t>
      </w:r>
      <w:r w:rsidR="00B73331" w:rsidRPr="00B64171">
        <w:rPr>
          <w:rFonts w:ascii="Times New (W1)" w:hAnsi="Times New (W1)"/>
        </w:rPr>
        <w:t xml:space="preserve">: un termometru cu scanare termică (astfel că la acest moment avem în folosință </w:t>
      </w:r>
      <w:r w:rsidR="00A74BC2">
        <w:rPr>
          <w:rFonts w:ascii="Times New (W1)" w:hAnsi="Times New (W1)"/>
        </w:rPr>
        <w:t xml:space="preserve">două </w:t>
      </w:r>
      <w:r w:rsidR="00B73331" w:rsidRPr="00B64171">
        <w:rPr>
          <w:rFonts w:ascii="Times New (W1)" w:hAnsi="Times New (W1)"/>
        </w:rPr>
        <w:t>asemenea instrumente)</w:t>
      </w:r>
      <w:r w:rsidR="00737B69" w:rsidRPr="00B64171">
        <w:rPr>
          <w:rFonts w:ascii="Times New (W1)" w:hAnsi="Times New (W1)"/>
        </w:rPr>
        <w:t xml:space="preserve">, substanțe </w:t>
      </w:r>
      <w:r w:rsidR="00A74BC2">
        <w:rPr>
          <w:rFonts w:ascii="Times New (W1)" w:hAnsi="Times New (W1)"/>
        </w:rPr>
        <w:t>dezinfectante</w:t>
      </w:r>
      <w:r w:rsidR="00737B69" w:rsidRPr="00B64171">
        <w:rPr>
          <w:rFonts w:ascii="Times New (W1)" w:hAnsi="Times New (W1)"/>
        </w:rPr>
        <w:t>, măști faciale</w:t>
      </w:r>
      <w:r w:rsidR="00F22367">
        <w:rPr>
          <w:rFonts w:ascii="Times New (W1)" w:hAnsi="Times New (W1)"/>
        </w:rPr>
        <w:t xml:space="preserve">, combinezoane, viziere, </w:t>
      </w:r>
      <w:r w:rsidR="00737B69" w:rsidRPr="00B64171">
        <w:rPr>
          <w:rFonts w:ascii="Times New (W1)" w:hAnsi="Times New (W1)"/>
        </w:rPr>
        <w:t xml:space="preserve">și au fost montate </w:t>
      </w:r>
      <w:r w:rsidR="00887750" w:rsidRPr="00B64171">
        <w:rPr>
          <w:rFonts w:ascii="Times New (W1)" w:hAnsi="Times New (W1)"/>
        </w:rPr>
        <w:t>sisteme de protecție din plexiglas în sălile de judecată și la biroul consilierului de probațiune.</w:t>
      </w:r>
    </w:p>
    <w:p w:rsidR="008F0015" w:rsidRPr="00B64171" w:rsidRDefault="00F074B4" w:rsidP="00F074B4">
      <w:pPr>
        <w:ind w:firstLine="720"/>
        <w:jc w:val="both"/>
        <w:rPr>
          <w:rFonts w:ascii="Times New (W1)" w:hAnsi="Times New (W1)"/>
        </w:rPr>
      </w:pPr>
      <w:r w:rsidRPr="00B64171">
        <w:rPr>
          <w:rFonts w:ascii="Times New (W1)" w:hAnsi="Times New (W1)"/>
        </w:rPr>
        <w:t xml:space="preserve">Tot prin dispoziție a instanței a fost </w:t>
      </w:r>
      <w:r w:rsidR="008F0015" w:rsidRPr="00B64171">
        <w:rPr>
          <w:rFonts w:ascii="Times New (W1)" w:hAnsi="Times New (W1)"/>
        </w:rPr>
        <w:t xml:space="preserve">limitat </w:t>
      </w:r>
      <w:r w:rsidRPr="00B64171">
        <w:rPr>
          <w:rFonts w:ascii="Times New (W1)" w:hAnsi="Times New (W1)"/>
        </w:rPr>
        <w:t>program</w:t>
      </w:r>
      <w:r w:rsidR="008F0015" w:rsidRPr="00B64171">
        <w:rPr>
          <w:rFonts w:ascii="Times New (W1)" w:hAnsi="Times New (W1)"/>
        </w:rPr>
        <w:t>ul</w:t>
      </w:r>
      <w:r w:rsidRPr="00B64171">
        <w:rPr>
          <w:rFonts w:ascii="Times New (W1)" w:hAnsi="Times New (W1)"/>
        </w:rPr>
        <w:t xml:space="preserve"> de lucru cu publicul pentru Biroul </w:t>
      </w:r>
      <w:r w:rsidR="00A4066D">
        <w:rPr>
          <w:rFonts w:ascii="Times New (W1)" w:hAnsi="Times New (W1)"/>
        </w:rPr>
        <w:t>R</w:t>
      </w:r>
      <w:r w:rsidRPr="00B64171">
        <w:rPr>
          <w:rFonts w:ascii="Times New (W1)" w:hAnsi="Times New (W1)"/>
        </w:rPr>
        <w:t>egistratură și Arhivă</w:t>
      </w:r>
      <w:r w:rsidR="005B02B9" w:rsidRPr="00B64171">
        <w:rPr>
          <w:rFonts w:ascii="Times New (W1)" w:hAnsi="Times New (W1)"/>
        </w:rPr>
        <w:t xml:space="preserve">. </w:t>
      </w:r>
    </w:p>
    <w:p w:rsidR="003A2BC6" w:rsidRPr="00B64171" w:rsidRDefault="008F0015" w:rsidP="00F074B4">
      <w:pPr>
        <w:ind w:firstLine="720"/>
        <w:jc w:val="both"/>
        <w:rPr>
          <w:rFonts w:ascii="Times New (W1)" w:hAnsi="Times New (W1)"/>
        </w:rPr>
      </w:pPr>
      <w:r w:rsidRPr="00B64171">
        <w:rPr>
          <w:rFonts w:ascii="Times New (W1)" w:hAnsi="Times New (W1)"/>
        </w:rPr>
        <w:t>S-a urmărit limitarea accesului publicului în instanță și, în același timp</w:t>
      </w:r>
      <w:r w:rsidR="003A2BC6" w:rsidRPr="00B64171">
        <w:rPr>
          <w:rFonts w:ascii="Times New (W1)" w:hAnsi="Times New (W1)"/>
        </w:rPr>
        <w:t>,</w:t>
      </w:r>
      <w:r w:rsidRPr="00B64171">
        <w:rPr>
          <w:rFonts w:ascii="Times New (W1)" w:hAnsi="Times New (W1)"/>
        </w:rPr>
        <w:t xml:space="preserve"> </w:t>
      </w:r>
      <w:r w:rsidR="003A2BC6" w:rsidRPr="00B64171">
        <w:rPr>
          <w:rFonts w:ascii="Times New (W1)" w:hAnsi="Times New (W1)"/>
        </w:rPr>
        <w:t xml:space="preserve">impunerea </w:t>
      </w:r>
      <w:r w:rsidR="00F22367">
        <w:rPr>
          <w:rFonts w:ascii="Times New (W1)" w:hAnsi="Times New (W1)"/>
        </w:rPr>
        <w:t xml:space="preserve">utilizării </w:t>
      </w:r>
      <w:r w:rsidR="003A2BC6" w:rsidRPr="00B64171">
        <w:rPr>
          <w:rFonts w:ascii="Times New (W1)" w:hAnsi="Times New (W1)"/>
        </w:rPr>
        <w:t>mijloacelor electronice de comunicare și studiere a dosarelor. În tot acest timp, direct și indirect, prin intermediul avocaților cu care am avut o colaborare extrem de bună, s-a</w:t>
      </w:r>
      <w:r w:rsidR="00F22367">
        <w:rPr>
          <w:rFonts w:ascii="Times New (W1)" w:hAnsi="Times New (W1)"/>
        </w:rPr>
        <w:t>u</w:t>
      </w:r>
      <w:r w:rsidR="003A2BC6" w:rsidRPr="00B64171">
        <w:rPr>
          <w:rFonts w:ascii="Times New (W1)" w:hAnsi="Times New (W1)"/>
        </w:rPr>
        <w:t xml:space="preserve"> acordat îndrumări justițiabililor</w:t>
      </w:r>
      <w:r w:rsidR="00F22367">
        <w:rPr>
          <w:rFonts w:ascii="Times New (W1)" w:hAnsi="Times New (W1)"/>
        </w:rPr>
        <w:t>,</w:t>
      </w:r>
      <w:r w:rsidR="003A2BC6" w:rsidRPr="00B64171">
        <w:rPr>
          <w:rFonts w:ascii="Times New (W1)" w:hAnsi="Times New (W1)"/>
        </w:rPr>
        <w:t xml:space="preserve"> astfel încât aceștia să înțeleagă modul în care se poate accesa </w:t>
      </w:r>
      <w:r w:rsidR="00F22367">
        <w:rPr>
          <w:rFonts w:ascii="Times New (W1)" w:hAnsi="Times New (W1)"/>
        </w:rPr>
        <w:t>dosarul electronic</w:t>
      </w:r>
      <w:r w:rsidR="003A2BC6" w:rsidRPr="00B64171">
        <w:rPr>
          <w:rFonts w:ascii="Times New (W1)" w:hAnsi="Times New (W1)"/>
        </w:rPr>
        <w:t>, modul în care se pot comunica electronic acte în dosare și mai ales necesitatea comunicării la dosar a unui număr de telefon la care să fie apelat în caz de necesitate.</w:t>
      </w:r>
    </w:p>
    <w:p w:rsidR="006565BF" w:rsidRPr="00B64171" w:rsidRDefault="00D00DF3" w:rsidP="00F074B4">
      <w:pPr>
        <w:ind w:firstLine="720"/>
        <w:jc w:val="both"/>
        <w:rPr>
          <w:rFonts w:ascii="Times New (W1)" w:hAnsi="Times New (W1)"/>
        </w:rPr>
      </w:pPr>
      <w:r w:rsidRPr="00B64171">
        <w:rPr>
          <w:rFonts w:ascii="Times New (W1)" w:hAnsi="Times New (W1)"/>
        </w:rPr>
        <w:t>În general, pe perioada stării de urgență, în cauzele în care nu a fost dispusă suspendarea judecății, citarea părților s-a realizat telefonic</w:t>
      </w:r>
      <w:r w:rsidR="00F22367">
        <w:rPr>
          <w:rFonts w:ascii="Times New (W1)" w:hAnsi="Times New (W1)"/>
        </w:rPr>
        <w:t>, electronic (email)</w:t>
      </w:r>
      <w:r w:rsidRPr="00B64171">
        <w:rPr>
          <w:rFonts w:ascii="Times New (W1)" w:hAnsi="Times New (W1)"/>
        </w:rPr>
        <w:t xml:space="preserve"> sau prin intermediul agenților </w:t>
      </w:r>
      <w:r w:rsidR="00F22367">
        <w:rPr>
          <w:rFonts w:ascii="Times New (W1)" w:hAnsi="Times New (W1)"/>
        </w:rPr>
        <w:t xml:space="preserve">Ministerului Afacerilor Interne </w:t>
      </w:r>
      <w:r w:rsidRPr="00B64171">
        <w:rPr>
          <w:rFonts w:ascii="Times New (W1)" w:hAnsi="Times New (W1)"/>
        </w:rPr>
        <w:t>(poliție, jandarmerie).</w:t>
      </w:r>
      <w:r w:rsidR="00C12237" w:rsidRPr="00B64171">
        <w:rPr>
          <w:rFonts w:ascii="Times New (W1)" w:hAnsi="Times New (W1)"/>
        </w:rPr>
        <w:t xml:space="preserve"> </w:t>
      </w:r>
    </w:p>
    <w:p w:rsidR="00723A22" w:rsidRPr="00B64171" w:rsidRDefault="00723A22" w:rsidP="00F074B4">
      <w:pPr>
        <w:ind w:firstLine="720"/>
        <w:jc w:val="both"/>
        <w:rPr>
          <w:rFonts w:ascii="Times New (W1)" w:hAnsi="Times New (W1)"/>
        </w:rPr>
      </w:pPr>
      <w:r w:rsidRPr="00B64171">
        <w:rPr>
          <w:rFonts w:ascii="Times New (W1)" w:hAnsi="Times New (W1)"/>
        </w:rPr>
        <w:t xml:space="preserve">În cauzele cu persoane private de libertate s-a urmărit folosirea </w:t>
      </w:r>
      <w:r w:rsidR="00F22367">
        <w:rPr>
          <w:rFonts w:ascii="Times New (W1)" w:hAnsi="Times New (W1)"/>
        </w:rPr>
        <w:t xml:space="preserve">sistemului de </w:t>
      </w:r>
      <w:r w:rsidRPr="00B64171">
        <w:rPr>
          <w:rFonts w:ascii="Times New (W1)" w:hAnsi="Times New (W1)"/>
        </w:rPr>
        <w:t>video</w:t>
      </w:r>
      <w:r w:rsidR="00F22367">
        <w:rPr>
          <w:rFonts w:ascii="Times New (W1)" w:hAnsi="Times New (W1)"/>
        </w:rPr>
        <w:t>-</w:t>
      </w:r>
      <w:r w:rsidRPr="00B64171">
        <w:rPr>
          <w:rFonts w:ascii="Times New (W1)" w:hAnsi="Times New (W1)"/>
        </w:rPr>
        <w:t>co</w:t>
      </w:r>
      <w:r w:rsidR="00290A09" w:rsidRPr="00B64171">
        <w:rPr>
          <w:rFonts w:ascii="Times New (W1)" w:hAnsi="Times New (W1)"/>
        </w:rPr>
        <w:t>n</w:t>
      </w:r>
      <w:r w:rsidRPr="00B64171">
        <w:rPr>
          <w:rFonts w:ascii="Times New (W1)" w:hAnsi="Times New (W1)"/>
        </w:rPr>
        <w:t>ferinț</w:t>
      </w:r>
      <w:r w:rsidR="00F22367">
        <w:rPr>
          <w:rFonts w:ascii="Times New (W1)" w:hAnsi="Times New (W1)"/>
        </w:rPr>
        <w:t>ă,</w:t>
      </w:r>
      <w:r w:rsidRPr="00B64171">
        <w:rPr>
          <w:rFonts w:ascii="Times New (W1)" w:hAnsi="Times New (W1)"/>
        </w:rPr>
        <w:t xml:space="preserve"> </w:t>
      </w:r>
      <w:r w:rsidR="00156056" w:rsidRPr="00B64171">
        <w:rPr>
          <w:rFonts w:ascii="Times New (W1)" w:hAnsi="Times New (W1)"/>
        </w:rPr>
        <w:t>ca mijloc de comunicare cu aceste persoane</w:t>
      </w:r>
      <w:r w:rsidR="00F22367">
        <w:rPr>
          <w:rFonts w:ascii="Times New (W1)" w:hAnsi="Times New (W1)"/>
        </w:rPr>
        <w:t>.</w:t>
      </w:r>
    </w:p>
    <w:p w:rsidR="008F0015" w:rsidRPr="00B64171" w:rsidRDefault="00D00DF3" w:rsidP="00F074B4">
      <w:pPr>
        <w:ind w:firstLine="720"/>
        <w:jc w:val="both"/>
        <w:rPr>
          <w:rFonts w:ascii="Times New (W1)" w:hAnsi="Times New (W1)"/>
        </w:rPr>
      </w:pPr>
      <w:r w:rsidRPr="00B64171">
        <w:rPr>
          <w:rFonts w:ascii="Times New (W1)" w:hAnsi="Times New (W1)"/>
        </w:rPr>
        <w:t xml:space="preserve">În cele </w:t>
      </w:r>
      <w:r w:rsidR="00F22367">
        <w:rPr>
          <w:rFonts w:ascii="Times New (W1)" w:hAnsi="Times New (W1)"/>
        </w:rPr>
        <w:t xml:space="preserve">două </w:t>
      </w:r>
      <w:r w:rsidRPr="00B64171">
        <w:rPr>
          <w:rFonts w:ascii="Times New (W1)" w:hAnsi="Times New (W1)"/>
        </w:rPr>
        <w:t xml:space="preserve">luni în care a fost instituită starea de urgență au fost dispuse numeroase alte măsuri </w:t>
      </w:r>
      <w:r w:rsidR="00F8622F" w:rsidRPr="00B64171">
        <w:rPr>
          <w:rFonts w:ascii="Times New (W1)" w:hAnsi="Times New (W1)"/>
        </w:rPr>
        <w:t>a căror enumerare este greu de realizat</w:t>
      </w:r>
      <w:r w:rsidR="005A36E5">
        <w:rPr>
          <w:rStyle w:val="Referinnotdesubsol"/>
          <w:rFonts w:ascii="Times New (W1)" w:hAnsi="Times New (W1)"/>
        </w:rPr>
        <w:footnoteReference w:id="1"/>
      </w:r>
      <w:r w:rsidR="00F22367">
        <w:rPr>
          <w:rFonts w:ascii="Times New (W1)" w:hAnsi="Times New (W1)"/>
        </w:rPr>
        <w:t>,</w:t>
      </w:r>
      <w:r w:rsidR="00F8622F" w:rsidRPr="00B64171">
        <w:rPr>
          <w:rFonts w:ascii="Times New (W1)" w:hAnsi="Times New (W1)"/>
        </w:rPr>
        <w:t xml:space="preserve"> însă ceea ce se impune a fi </w:t>
      </w:r>
      <w:r w:rsidR="00F22367">
        <w:rPr>
          <w:rFonts w:ascii="Times New (W1)" w:hAnsi="Times New (W1)"/>
        </w:rPr>
        <w:t xml:space="preserve">precizat </w:t>
      </w:r>
      <w:r w:rsidR="00F8622F" w:rsidRPr="00B64171">
        <w:rPr>
          <w:rFonts w:ascii="Times New (W1)" w:hAnsi="Times New (W1)"/>
        </w:rPr>
        <w:t xml:space="preserve">este colaborarea foarte bună pe care am avut-o </w:t>
      </w:r>
      <w:r w:rsidR="00723A22" w:rsidRPr="00B64171">
        <w:rPr>
          <w:rFonts w:ascii="Times New (W1)" w:hAnsi="Times New (W1)"/>
        </w:rPr>
        <w:t>cu celelalte autorități și instituții ale statului: Ministerul A</w:t>
      </w:r>
      <w:r w:rsidR="00F22367">
        <w:rPr>
          <w:rFonts w:ascii="Times New (W1)" w:hAnsi="Times New (W1)"/>
        </w:rPr>
        <w:t>facerilor Interne</w:t>
      </w:r>
      <w:r w:rsidR="00723A22" w:rsidRPr="00B64171">
        <w:rPr>
          <w:rFonts w:ascii="Times New (W1)" w:hAnsi="Times New (W1)"/>
        </w:rPr>
        <w:t>, Administrația Națională a Penitenciarelor și structurile din subordine</w:t>
      </w:r>
      <w:r w:rsidR="00AA38A9" w:rsidRPr="00B64171">
        <w:rPr>
          <w:rFonts w:ascii="Times New (W1)" w:hAnsi="Times New (W1)"/>
        </w:rPr>
        <w:t>, Spitalul Municipal Curtea de Argeș, Primăria mun</w:t>
      </w:r>
      <w:r w:rsidR="00F22367">
        <w:rPr>
          <w:rFonts w:ascii="Times New (W1)" w:hAnsi="Times New (W1)"/>
        </w:rPr>
        <w:t xml:space="preserve">icipiului </w:t>
      </w:r>
      <w:r w:rsidR="00AA38A9" w:rsidRPr="00B64171">
        <w:rPr>
          <w:rFonts w:ascii="Times New (W1)" w:hAnsi="Times New (W1)"/>
        </w:rPr>
        <w:t>Curtea de Argeș</w:t>
      </w:r>
      <w:r w:rsidR="00F22367">
        <w:rPr>
          <w:rFonts w:ascii="Times New (W1)" w:hAnsi="Times New (W1)"/>
        </w:rPr>
        <w:t xml:space="preserve">, </w:t>
      </w:r>
      <w:r w:rsidR="00AA38A9" w:rsidRPr="00B64171">
        <w:rPr>
          <w:rFonts w:ascii="Times New (W1)" w:hAnsi="Times New (W1)"/>
        </w:rPr>
        <w:t>primăriile comunelor din circumscripție etc.</w:t>
      </w:r>
    </w:p>
    <w:p w:rsidR="00DE7387" w:rsidRPr="00B64171" w:rsidRDefault="00DE7387" w:rsidP="00F074B4">
      <w:pPr>
        <w:ind w:firstLine="720"/>
        <w:jc w:val="both"/>
        <w:rPr>
          <w:rFonts w:ascii="Times New (W1)" w:hAnsi="Times New (W1)"/>
        </w:rPr>
      </w:pPr>
      <w:r w:rsidRPr="00B64171">
        <w:rPr>
          <w:rFonts w:ascii="Times New (W1)" w:hAnsi="Times New (W1)"/>
        </w:rPr>
        <w:t>După încetarea stării de urgență și instituirea stării de alertă o parte din măsurile dispuse anterior au fost înlăturate</w:t>
      </w:r>
      <w:r w:rsidR="000926D3" w:rsidRPr="00B64171">
        <w:rPr>
          <w:rFonts w:ascii="Times New (W1)" w:hAnsi="Times New (W1)"/>
        </w:rPr>
        <w:t xml:space="preserve"> în tot sau </w:t>
      </w:r>
      <w:r w:rsidR="00F22367">
        <w:rPr>
          <w:rFonts w:ascii="Times New (W1)" w:hAnsi="Times New (W1)"/>
        </w:rPr>
        <w:t xml:space="preserve">în </w:t>
      </w:r>
      <w:r w:rsidR="000926D3" w:rsidRPr="00B64171">
        <w:rPr>
          <w:rFonts w:ascii="Times New (W1)" w:hAnsi="Times New (W1)"/>
        </w:rPr>
        <w:t>parte.</w:t>
      </w:r>
    </w:p>
    <w:p w:rsidR="00A24FD4" w:rsidRPr="00B64171" w:rsidRDefault="000926D3" w:rsidP="00F074B4">
      <w:pPr>
        <w:ind w:firstLine="720"/>
        <w:jc w:val="both"/>
        <w:rPr>
          <w:rFonts w:ascii="Times New (W1)" w:hAnsi="Times New (W1)"/>
        </w:rPr>
      </w:pPr>
      <w:r w:rsidRPr="00B64171">
        <w:rPr>
          <w:rFonts w:ascii="Times New (W1)" w:hAnsi="Times New (W1)"/>
        </w:rPr>
        <w:t xml:space="preserve">Astfel, </w:t>
      </w:r>
      <w:r w:rsidR="00236915" w:rsidRPr="00B64171">
        <w:rPr>
          <w:rFonts w:ascii="Times New (W1)" w:hAnsi="Times New (W1)"/>
        </w:rPr>
        <w:t>în prezent</w:t>
      </w:r>
      <w:r w:rsidR="00A24FD4" w:rsidRPr="00B64171">
        <w:rPr>
          <w:rFonts w:ascii="Times New (W1)" w:hAnsi="Times New (W1)"/>
        </w:rPr>
        <w:t>, accesul în instanță este condiționat de următoarele aspecte:</w:t>
      </w:r>
    </w:p>
    <w:p w:rsidR="00A24FD4" w:rsidRPr="00B64171" w:rsidRDefault="00A24FD4" w:rsidP="00A24FD4">
      <w:pPr>
        <w:pStyle w:val="Listparagraf"/>
        <w:numPr>
          <w:ilvl w:val="0"/>
          <w:numId w:val="44"/>
        </w:numPr>
        <w:jc w:val="both"/>
        <w:rPr>
          <w:rFonts w:ascii="Times New (W1)" w:hAnsi="Times New (W1)"/>
        </w:rPr>
      </w:pPr>
      <w:r w:rsidRPr="00B64171">
        <w:rPr>
          <w:rFonts w:ascii="Times New (W1)" w:hAnsi="Times New (W1)"/>
        </w:rPr>
        <w:t>scanarea termică a temperaturii corpului;</w:t>
      </w:r>
    </w:p>
    <w:p w:rsidR="00A24FD4" w:rsidRPr="00B64171" w:rsidRDefault="00A24FD4" w:rsidP="00A24FD4">
      <w:pPr>
        <w:pStyle w:val="Listparagraf"/>
        <w:numPr>
          <w:ilvl w:val="0"/>
          <w:numId w:val="44"/>
        </w:numPr>
        <w:jc w:val="both"/>
        <w:rPr>
          <w:rFonts w:ascii="Times New (W1)" w:hAnsi="Times New (W1)"/>
        </w:rPr>
      </w:pPr>
      <w:r w:rsidRPr="00B64171">
        <w:rPr>
          <w:rFonts w:ascii="Times New (W1)" w:hAnsi="Times New (W1)"/>
        </w:rPr>
        <w:t>dezinfect</w:t>
      </w:r>
      <w:r w:rsidR="00F22367">
        <w:rPr>
          <w:rFonts w:ascii="Times New (W1)" w:hAnsi="Times New (W1)"/>
        </w:rPr>
        <w:t xml:space="preserve">area </w:t>
      </w:r>
      <w:r w:rsidRPr="00B64171">
        <w:rPr>
          <w:rFonts w:ascii="Times New (W1)" w:hAnsi="Times New (W1)"/>
        </w:rPr>
        <w:t>mâinilor și a tălpilor articolelor de încălțăminte;</w:t>
      </w:r>
    </w:p>
    <w:p w:rsidR="00A24FD4" w:rsidRDefault="00A24FD4" w:rsidP="00A24FD4">
      <w:pPr>
        <w:pStyle w:val="Listparagraf"/>
        <w:numPr>
          <w:ilvl w:val="0"/>
          <w:numId w:val="44"/>
        </w:numPr>
        <w:jc w:val="both"/>
        <w:rPr>
          <w:rFonts w:ascii="Times New (W1)" w:hAnsi="Times New (W1)"/>
        </w:rPr>
      </w:pPr>
      <w:r w:rsidRPr="00B64171">
        <w:rPr>
          <w:rFonts w:ascii="Times New (W1)" w:hAnsi="Times New (W1)"/>
        </w:rPr>
        <w:t>portul măștii de protecție</w:t>
      </w:r>
      <w:r w:rsidR="00F22367">
        <w:rPr>
          <w:rFonts w:ascii="Times New (W1)" w:hAnsi="Times New (W1)"/>
        </w:rPr>
        <w:t>.</w:t>
      </w:r>
    </w:p>
    <w:p w:rsidR="00C31340" w:rsidRDefault="00C31340" w:rsidP="00C31340">
      <w:pPr>
        <w:ind w:firstLine="720"/>
        <w:jc w:val="both"/>
        <w:rPr>
          <w:rFonts w:ascii="Times New (W1)" w:hAnsi="Times New (W1)"/>
        </w:rPr>
      </w:pPr>
      <w:r>
        <w:rPr>
          <w:rFonts w:ascii="Times New (W1)" w:hAnsi="Times New (W1)"/>
        </w:rPr>
        <w:t xml:space="preserve">De asemenea, </w:t>
      </w:r>
      <w:r w:rsidR="00F22367">
        <w:rPr>
          <w:rFonts w:ascii="Times New (W1)" w:hAnsi="Times New (W1)"/>
        </w:rPr>
        <w:t>a fost asigurată just</w:t>
      </w:r>
      <w:r>
        <w:rPr>
          <w:rFonts w:ascii="Times New (W1)" w:hAnsi="Times New (W1)"/>
        </w:rPr>
        <w:t>iţiabililor o cale de acces în curtea şi sediul judecătoriei</w:t>
      </w:r>
      <w:r w:rsidR="00F22367">
        <w:rPr>
          <w:rFonts w:ascii="Times New (W1)" w:hAnsi="Times New (W1)"/>
        </w:rPr>
        <w:t>,</w:t>
      </w:r>
      <w:r>
        <w:rPr>
          <w:rFonts w:ascii="Times New (W1)" w:hAnsi="Times New (W1)"/>
        </w:rPr>
        <w:t xml:space="preserve"> separată de cea folosită de personalul instanţei.</w:t>
      </w:r>
    </w:p>
    <w:p w:rsidR="00A24FD4" w:rsidRPr="00B64171" w:rsidRDefault="00A24FD4" w:rsidP="00A24FD4">
      <w:pPr>
        <w:ind w:firstLine="720"/>
        <w:jc w:val="both"/>
        <w:rPr>
          <w:rFonts w:ascii="Times New (W1)" w:hAnsi="Times New (W1)"/>
        </w:rPr>
      </w:pPr>
      <w:r w:rsidRPr="00B64171">
        <w:rPr>
          <w:rFonts w:ascii="Times New (W1)" w:hAnsi="Times New (W1)"/>
        </w:rPr>
        <w:t xml:space="preserve">Persoanele care solicită acces la Biroul Registratură sau Arhivă sunt primite doar în intervalul orar în care au fost programate în prealabil. </w:t>
      </w:r>
    </w:p>
    <w:p w:rsidR="00A24FD4" w:rsidRPr="00B64171" w:rsidRDefault="00A24FD4" w:rsidP="00A24FD4">
      <w:pPr>
        <w:ind w:firstLine="720"/>
        <w:jc w:val="both"/>
        <w:rPr>
          <w:rFonts w:ascii="Times New (W1)" w:hAnsi="Times New (W1)"/>
        </w:rPr>
      </w:pPr>
      <w:r w:rsidRPr="00B64171">
        <w:rPr>
          <w:rFonts w:ascii="Times New (W1)" w:hAnsi="Times New (W1)"/>
        </w:rPr>
        <w:t>Persoanele care au calitatea de părți în dosarele aflate pe rol sunt primite doar în intervalul stabilit de instanță pentru  judecarea cauzei şi în limita locurilor libere din sala de judecată</w:t>
      </w:r>
      <w:r w:rsidR="00B75C9F" w:rsidRPr="00B64171">
        <w:rPr>
          <w:rFonts w:ascii="Times New (W1)" w:hAnsi="Times New (W1)"/>
        </w:rPr>
        <w:t>; în măsura în care nu există locuri în sală acestea pot aştepta în spaţii în care este asigurată distanţarea fizică</w:t>
      </w:r>
      <w:r w:rsidR="00F22367">
        <w:rPr>
          <w:rFonts w:ascii="Times New (W1)" w:hAnsi="Times New (W1)"/>
        </w:rPr>
        <w:t>,</w:t>
      </w:r>
      <w:r w:rsidR="00B75C9F" w:rsidRPr="00B64171">
        <w:rPr>
          <w:rFonts w:ascii="Times New (W1)" w:hAnsi="Times New (W1)"/>
        </w:rPr>
        <w:t xml:space="preserve"> până la momentul </w:t>
      </w:r>
      <w:r w:rsidR="00F22367">
        <w:rPr>
          <w:rFonts w:ascii="Times New (W1)" w:hAnsi="Times New (W1)"/>
        </w:rPr>
        <w:t xml:space="preserve">chemării </w:t>
      </w:r>
      <w:r w:rsidR="00B75C9F" w:rsidRPr="00B64171">
        <w:rPr>
          <w:rFonts w:ascii="Times New (W1)" w:hAnsi="Times New (W1)"/>
        </w:rPr>
        <w:t>lor de către completul de judecată.</w:t>
      </w:r>
    </w:p>
    <w:p w:rsidR="00B75C9F" w:rsidRPr="00B64171" w:rsidRDefault="000C4BB7" w:rsidP="00A24FD4">
      <w:pPr>
        <w:ind w:firstLine="720"/>
        <w:jc w:val="both"/>
        <w:rPr>
          <w:rFonts w:ascii="Times New (W1)" w:hAnsi="Times New (W1)"/>
        </w:rPr>
      </w:pPr>
      <w:r w:rsidRPr="00B64171">
        <w:rPr>
          <w:rFonts w:ascii="Times New (W1)" w:hAnsi="Times New (W1)"/>
        </w:rPr>
        <w:t>Pentru a asigura distanţarea fizică</w:t>
      </w:r>
      <w:r w:rsidR="00F22367">
        <w:rPr>
          <w:rFonts w:ascii="Times New (W1)" w:hAnsi="Times New (W1)"/>
        </w:rPr>
        <w:t xml:space="preserve"> în sala de judecată</w:t>
      </w:r>
      <w:r w:rsidR="00B64171" w:rsidRPr="00B64171">
        <w:rPr>
          <w:rFonts w:ascii="Times New (W1)" w:hAnsi="Times New (W1)"/>
        </w:rPr>
        <w:t xml:space="preserve"> a </w:t>
      </w:r>
      <w:r w:rsidRPr="00B64171">
        <w:rPr>
          <w:rFonts w:ascii="Times New (W1)" w:hAnsi="Times New (W1)"/>
        </w:rPr>
        <w:t xml:space="preserve">părţilor din dosarele aflate pe rol </w:t>
      </w:r>
      <w:r w:rsidR="00F22367">
        <w:rPr>
          <w:rFonts w:ascii="Times New (W1)" w:hAnsi="Times New (W1)"/>
        </w:rPr>
        <w:t xml:space="preserve">au fost </w:t>
      </w:r>
      <w:r w:rsidRPr="00B64171">
        <w:rPr>
          <w:rFonts w:ascii="Times New (W1)" w:hAnsi="Times New (W1)"/>
        </w:rPr>
        <w:t>dispus</w:t>
      </w:r>
      <w:r w:rsidR="00F22367">
        <w:rPr>
          <w:rFonts w:ascii="Times New (W1)" w:hAnsi="Times New (W1)"/>
        </w:rPr>
        <w:t>e</w:t>
      </w:r>
      <w:r w:rsidRPr="00B64171">
        <w:rPr>
          <w:rFonts w:ascii="Times New (W1)" w:hAnsi="Times New (W1)"/>
        </w:rPr>
        <w:t xml:space="preserve"> următoarele măsuri:</w:t>
      </w:r>
    </w:p>
    <w:p w:rsidR="000C4BB7" w:rsidRPr="00B64171" w:rsidRDefault="000C4BB7" w:rsidP="000C4BB7">
      <w:pPr>
        <w:pStyle w:val="Listparagraf"/>
        <w:numPr>
          <w:ilvl w:val="0"/>
          <w:numId w:val="44"/>
        </w:numPr>
        <w:jc w:val="both"/>
        <w:rPr>
          <w:rFonts w:ascii="Times New (W1)" w:hAnsi="Times New (W1)"/>
        </w:rPr>
      </w:pPr>
      <w:r w:rsidRPr="00B64171">
        <w:rPr>
          <w:rFonts w:ascii="Times New (W1)" w:hAnsi="Times New (W1)"/>
        </w:rPr>
        <w:t xml:space="preserve">folosirea </w:t>
      </w:r>
      <w:r w:rsidR="00B64171" w:rsidRPr="00B64171">
        <w:rPr>
          <w:rFonts w:ascii="Times New (W1)" w:hAnsi="Times New (W1)"/>
        </w:rPr>
        <w:t xml:space="preserve">de către toţi magistraţii a sălii </w:t>
      </w:r>
      <w:r w:rsidR="00F22367">
        <w:rPr>
          <w:rFonts w:ascii="Times New (W1)" w:hAnsi="Times New (W1)"/>
        </w:rPr>
        <w:t xml:space="preserve">de şedinţă nr. 1 (sala mare) </w:t>
      </w:r>
      <w:r w:rsidR="00B64171" w:rsidRPr="00B64171">
        <w:rPr>
          <w:rFonts w:ascii="Times New (W1)" w:hAnsi="Times New (W1)"/>
        </w:rPr>
        <w:t>şi</w:t>
      </w:r>
      <w:r w:rsidR="00F22367">
        <w:rPr>
          <w:rFonts w:ascii="Times New (W1)" w:hAnsi="Times New (W1)"/>
        </w:rPr>
        <w:t xml:space="preserve">, numai </w:t>
      </w:r>
      <w:r w:rsidR="00B64171" w:rsidRPr="00B64171">
        <w:rPr>
          <w:rFonts w:ascii="Times New (W1)" w:hAnsi="Times New (W1)"/>
        </w:rPr>
        <w:t>în cazuri excepţionale</w:t>
      </w:r>
      <w:r w:rsidR="00F22367">
        <w:rPr>
          <w:rFonts w:ascii="Times New (W1)" w:hAnsi="Times New (W1)"/>
        </w:rPr>
        <w:t>,</w:t>
      </w:r>
      <w:r w:rsidR="00B64171" w:rsidRPr="00B64171">
        <w:rPr>
          <w:rFonts w:ascii="Times New (W1)" w:hAnsi="Times New (W1)"/>
        </w:rPr>
        <w:t xml:space="preserve"> a sălii</w:t>
      </w:r>
      <w:r w:rsidR="00F22367">
        <w:rPr>
          <w:rFonts w:ascii="Times New (W1)" w:hAnsi="Times New (W1)"/>
        </w:rPr>
        <w:t xml:space="preserve"> de şedinţă nr. 2 (sala mică)</w:t>
      </w:r>
      <w:r w:rsidR="00B64171" w:rsidRPr="00B64171">
        <w:rPr>
          <w:rFonts w:ascii="Times New (W1)" w:hAnsi="Times New (W1)"/>
        </w:rPr>
        <w:t>;</w:t>
      </w:r>
    </w:p>
    <w:p w:rsidR="00B64171" w:rsidRPr="00B64171" w:rsidRDefault="00B64171" w:rsidP="000C4BB7">
      <w:pPr>
        <w:pStyle w:val="Listparagraf"/>
        <w:numPr>
          <w:ilvl w:val="0"/>
          <w:numId w:val="44"/>
        </w:numPr>
        <w:jc w:val="both"/>
        <w:rPr>
          <w:rFonts w:ascii="Times New (W1)" w:hAnsi="Times New (W1)"/>
        </w:rPr>
      </w:pPr>
      <w:r w:rsidRPr="00B64171">
        <w:rPr>
          <w:rFonts w:ascii="Times New (W1)" w:hAnsi="Times New (W1)"/>
        </w:rPr>
        <w:t xml:space="preserve">limitarea accesului </w:t>
      </w:r>
      <w:r w:rsidR="00F22367">
        <w:rPr>
          <w:rFonts w:ascii="Times New (W1)" w:hAnsi="Times New (W1)"/>
        </w:rPr>
        <w:t xml:space="preserve">părţilor </w:t>
      </w:r>
      <w:r w:rsidRPr="00B64171">
        <w:rPr>
          <w:rFonts w:ascii="Times New (W1)" w:hAnsi="Times New (W1)"/>
        </w:rPr>
        <w:t xml:space="preserve">în sala mare de </w:t>
      </w:r>
      <w:r w:rsidR="00F22367">
        <w:rPr>
          <w:rFonts w:ascii="Times New (W1)" w:hAnsi="Times New (W1)"/>
        </w:rPr>
        <w:t>şedinţă,</w:t>
      </w:r>
      <w:r w:rsidRPr="00B64171">
        <w:rPr>
          <w:rFonts w:ascii="Times New (W1)" w:hAnsi="Times New (W1)"/>
        </w:rPr>
        <w:t xml:space="preserve"> astfel încât să se asigure o distanță între persoane de minim 2 metri;</w:t>
      </w:r>
    </w:p>
    <w:p w:rsidR="00B64171" w:rsidRPr="00B64171" w:rsidRDefault="00B64171" w:rsidP="000C4BB7">
      <w:pPr>
        <w:pStyle w:val="Listparagraf"/>
        <w:numPr>
          <w:ilvl w:val="0"/>
          <w:numId w:val="44"/>
        </w:numPr>
        <w:jc w:val="both"/>
        <w:rPr>
          <w:rFonts w:ascii="Times New (W1)" w:hAnsi="Times New (W1)"/>
        </w:rPr>
      </w:pPr>
      <w:r w:rsidRPr="00B64171">
        <w:rPr>
          <w:rFonts w:ascii="Times New (W1)" w:hAnsi="Times New (W1)"/>
        </w:rPr>
        <w:t>folosirea sălii mici ca și sală de așteptare;</w:t>
      </w:r>
    </w:p>
    <w:p w:rsidR="00B64171" w:rsidRDefault="00B64171" w:rsidP="00B64171">
      <w:pPr>
        <w:ind w:firstLine="720"/>
        <w:jc w:val="both"/>
        <w:rPr>
          <w:rFonts w:ascii="Times New (W1)" w:hAnsi="Times New (W1)"/>
        </w:rPr>
      </w:pPr>
      <w:r>
        <w:rPr>
          <w:rFonts w:ascii="Times New (W1)" w:hAnsi="Times New (W1)"/>
        </w:rPr>
        <w:lastRenderedPageBreak/>
        <w:t>În afara distanțării fizice, președintele de complet are obligația de a asigura, pe durat</w:t>
      </w:r>
      <w:r w:rsidR="00F22367">
        <w:rPr>
          <w:rFonts w:ascii="Times New (W1)" w:hAnsi="Times New (W1)"/>
        </w:rPr>
        <w:t>a</w:t>
      </w:r>
      <w:r>
        <w:rPr>
          <w:rFonts w:ascii="Times New (W1)" w:hAnsi="Times New (W1)"/>
        </w:rPr>
        <w:t xml:space="preserve"> desfășurării ședinței de judecată, a unor </w:t>
      </w:r>
      <w:r w:rsidR="003C12A5">
        <w:rPr>
          <w:rFonts w:ascii="Times New (W1)" w:hAnsi="Times New (W1)"/>
        </w:rPr>
        <w:t xml:space="preserve">pauze pentru aerisire </w:t>
      </w:r>
      <w:r>
        <w:rPr>
          <w:rFonts w:ascii="Times New (W1)" w:hAnsi="Times New (W1)"/>
        </w:rPr>
        <w:t>și dezinfect</w:t>
      </w:r>
      <w:r w:rsidR="003C12A5">
        <w:rPr>
          <w:rFonts w:ascii="Times New (W1)" w:hAnsi="Times New (W1)"/>
        </w:rPr>
        <w:t xml:space="preserve">area </w:t>
      </w:r>
      <w:r w:rsidR="00BB1AF3">
        <w:rPr>
          <w:rFonts w:ascii="Times New (W1)" w:hAnsi="Times New (W1)"/>
        </w:rPr>
        <w:t>interiorului acesteia.</w:t>
      </w:r>
    </w:p>
    <w:p w:rsidR="00A24FD4" w:rsidRDefault="002950C6" w:rsidP="00A24FD4">
      <w:pPr>
        <w:ind w:firstLine="720"/>
        <w:jc w:val="both"/>
        <w:rPr>
          <w:rFonts w:ascii="Times New (W1)" w:hAnsi="Times New (W1)"/>
        </w:rPr>
      </w:pPr>
      <w:r>
        <w:rPr>
          <w:rFonts w:ascii="Times New (W1)" w:hAnsi="Times New (W1)"/>
        </w:rPr>
        <w:t xml:space="preserve">Periodic, în </w:t>
      </w:r>
      <w:r w:rsidR="003C12A5">
        <w:rPr>
          <w:rFonts w:ascii="Times New (W1)" w:hAnsi="Times New (W1)"/>
        </w:rPr>
        <w:t xml:space="preserve">spaţiile </w:t>
      </w:r>
      <w:r>
        <w:rPr>
          <w:rFonts w:ascii="Times New (W1)" w:hAnsi="Times New (W1)"/>
        </w:rPr>
        <w:t>de lucru</w:t>
      </w:r>
      <w:r w:rsidR="003C12A5">
        <w:rPr>
          <w:rFonts w:ascii="Times New (W1)" w:hAnsi="Times New (W1)"/>
        </w:rPr>
        <w:t xml:space="preserve">, </w:t>
      </w:r>
      <w:r>
        <w:rPr>
          <w:rFonts w:ascii="Times New (W1)" w:hAnsi="Times New (W1)"/>
        </w:rPr>
        <w:t>sălile de judecată</w:t>
      </w:r>
      <w:r w:rsidR="003C12A5">
        <w:rPr>
          <w:rFonts w:ascii="Times New (W1)" w:hAnsi="Times New (W1)"/>
        </w:rPr>
        <w:t xml:space="preserve"> şi spaţiile în care au acces justiţiabilii </w:t>
      </w:r>
      <w:r>
        <w:rPr>
          <w:rFonts w:ascii="Times New (W1)" w:hAnsi="Times New (W1)"/>
        </w:rPr>
        <w:t>se procedează la dezinfectarea cu substanțe pe bază de alcool</w:t>
      </w:r>
      <w:r w:rsidR="003C12A5">
        <w:rPr>
          <w:rFonts w:ascii="Times New (W1)" w:hAnsi="Times New (W1)"/>
        </w:rPr>
        <w:t xml:space="preserve"> şi </w:t>
      </w:r>
      <w:r>
        <w:rPr>
          <w:rFonts w:ascii="Times New (W1)" w:hAnsi="Times New (W1)"/>
        </w:rPr>
        <w:t>clor</w:t>
      </w:r>
      <w:r w:rsidR="003C12A5">
        <w:rPr>
          <w:rFonts w:ascii="Times New (W1)" w:hAnsi="Times New (W1)"/>
        </w:rPr>
        <w:t xml:space="preserve">. De asemenea, sunt folosite </w:t>
      </w:r>
      <w:r>
        <w:rPr>
          <w:rFonts w:ascii="Times New (W1)" w:hAnsi="Times New (W1)"/>
        </w:rPr>
        <w:t>lămpil</w:t>
      </w:r>
      <w:r w:rsidR="003C12A5">
        <w:rPr>
          <w:rFonts w:ascii="Times New (W1)" w:hAnsi="Times New (W1)"/>
        </w:rPr>
        <w:t xml:space="preserve">e </w:t>
      </w:r>
      <w:r>
        <w:rPr>
          <w:rFonts w:ascii="Times New (W1)" w:hAnsi="Times New (W1)"/>
        </w:rPr>
        <w:t>cu ultraviolete</w:t>
      </w:r>
      <w:r w:rsidR="003C12A5">
        <w:rPr>
          <w:rFonts w:ascii="Times New (W1)" w:hAnsi="Times New (W1)"/>
        </w:rPr>
        <w:t xml:space="preserve"> achiziţionate de către Tribunalul Argeş</w:t>
      </w:r>
      <w:r w:rsidR="00755900">
        <w:rPr>
          <w:rFonts w:ascii="Times New (W1)" w:hAnsi="Times New (W1)"/>
        </w:rPr>
        <w:t>.</w:t>
      </w:r>
    </w:p>
    <w:p w:rsidR="00601355" w:rsidRPr="00D77D8A" w:rsidRDefault="00601355" w:rsidP="00601355">
      <w:pPr>
        <w:ind w:firstLine="720"/>
        <w:jc w:val="both"/>
        <w:rPr>
          <w:rFonts w:ascii="Times New (W1)" w:hAnsi="Times New (W1)"/>
        </w:rPr>
      </w:pPr>
      <w:r w:rsidRPr="00D77D8A">
        <w:rPr>
          <w:rFonts w:ascii="Times New (W1)" w:hAnsi="Times New (W1)"/>
        </w:rPr>
        <w:t xml:space="preserve">Magistraţii din cadrul judecătoriei au urmărit în permanenţă </w:t>
      </w:r>
      <w:r w:rsidR="003C12A5">
        <w:rPr>
          <w:rFonts w:ascii="Times New (W1)" w:hAnsi="Times New (W1)"/>
        </w:rPr>
        <w:t xml:space="preserve">programarea </w:t>
      </w:r>
      <w:r w:rsidRPr="00D77D8A">
        <w:rPr>
          <w:rFonts w:ascii="Times New (W1)" w:hAnsi="Times New (W1)"/>
        </w:rPr>
        <w:t xml:space="preserve">cauzelor aferente unei şedinţe de judecată pe intervale orare însă, numărul mic de judecători </w:t>
      </w:r>
      <w:r w:rsidR="00210917" w:rsidRPr="00D77D8A">
        <w:rPr>
          <w:rFonts w:ascii="Times New (W1)" w:hAnsi="Times New (W1)"/>
        </w:rPr>
        <w:t>a generat alocarea către aceştia a unui număr mare de dosare</w:t>
      </w:r>
      <w:r w:rsidR="003C12A5">
        <w:rPr>
          <w:rFonts w:ascii="Times New (W1)" w:hAnsi="Times New (W1)"/>
        </w:rPr>
        <w:t>,</w:t>
      </w:r>
      <w:r w:rsidR="00210917" w:rsidRPr="00D77D8A">
        <w:rPr>
          <w:rFonts w:ascii="Times New (W1)" w:hAnsi="Times New (W1)"/>
        </w:rPr>
        <w:t xml:space="preserve"> fapt care </w:t>
      </w:r>
      <w:r w:rsidRPr="00D77D8A">
        <w:rPr>
          <w:rFonts w:ascii="Times New (W1)" w:hAnsi="Times New (W1)"/>
        </w:rPr>
        <w:t>a condus la aglomerarea şedinţelor de judecată şi</w:t>
      </w:r>
      <w:r w:rsidR="003C12A5">
        <w:rPr>
          <w:rFonts w:ascii="Times New (W1)" w:hAnsi="Times New (W1)"/>
        </w:rPr>
        <w:t>,</w:t>
      </w:r>
      <w:r w:rsidRPr="00D77D8A">
        <w:rPr>
          <w:rFonts w:ascii="Times New (W1)" w:hAnsi="Times New (W1)"/>
        </w:rPr>
        <w:t xml:space="preserve"> implicit</w:t>
      </w:r>
      <w:r w:rsidR="003C12A5">
        <w:rPr>
          <w:rFonts w:ascii="Times New (W1)" w:hAnsi="Times New (W1)"/>
        </w:rPr>
        <w:t>,</w:t>
      </w:r>
      <w:r w:rsidRPr="00D77D8A">
        <w:rPr>
          <w:rFonts w:ascii="Times New (W1)" w:hAnsi="Times New (W1)"/>
        </w:rPr>
        <w:t xml:space="preserve"> şi a numărului de cauze alocat unui anumit interval orar.</w:t>
      </w:r>
    </w:p>
    <w:p w:rsidR="00601355" w:rsidRPr="00D77D8A" w:rsidRDefault="00210917" w:rsidP="00601355">
      <w:pPr>
        <w:ind w:firstLine="720"/>
        <w:jc w:val="both"/>
        <w:rPr>
          <w:rFonts w:ascii="Times New (W1)" w:hAnsi="Times New (W1)"/>
        </w:rPr>
      </w:pPr>
      <w:r w:rsidRPr="00D77D8A">
        <w:rPr>
          <w:rFonts w:ascii="Times New (W1)" w:hAnsi="Times New (W1)"/>
        </w:rPr>
        <w:t>Aceste dezavantaje vor disp</w:t>
      </w:r>
      <w:r w:rsidR="003C12A5">
        <w:rPr>
          <w:rFonts w:ascii="Times New (W1)" w:hAnsi="Times New (W1)"/>
        </w:rPr>
        <w:t xml:space="preserve">ărea, </w:t>
      </w:r>
      <w:r w:rsidRPr="00D77D8A">
        <w:rPr>
          <w:rFonts w:ascii="Times New (W1)" w:hAnsi="Times New (W1)"/>
        </w:rPr>
        <w:t>însă</w:t>
      </w:r>
      <w:r w:rsidR="003C12A5">
        <w:rPr>
          <w:rFonts w:ascii="Times New (W1)" w:hAnsi="Times New (W1)"/>
        </w:rPr>
        <w:t>,</w:t>
      </w:r>
      <w:r w:rsidRPr="00D77D8A">
        <w:rPr>
          <w:rFonts w:ascii="Times New (W1)" w:hAnsi="Times New (W1)"/>
        </w:rPr>
        <w:t xml:space="preserve"> în momentul în care locurile vacante se vor ocupa ca urmare a revenirii celor </w:t>
      </w:r>
      <w:r w:rsidR="003C12A5">
        <w:rPr>
          <w:rFonts w:ascii="Times New (W1)" w:hAnsi="Times New (W1)"/>
        </w:rPr>
        <w:t xml:space="preserve">doi </w:t>
      </w:r>
      <w:r w:rsidRPr="00D77D8A">
        <w:rPr>
          <w:rFonts w:ascii="Times New (W1)" w:hAnsi="Times New (W1)"/>
        </w:rPr>
        <w:t xml:space="preserve">magistraţi </w:t>
      </w:r>
      <w:r w:rsidR="003C12A5">
        <w:rPr>
          <w:rFonts w:ascii="Times New (W1)" w:hAnsi="Times New (W1)"/>
        </w:rPr>
        <w:t xml:space="preserve">aflaţi </w:t>
      </w:r>
      <w:r w:rsidRPr="00D77D8A">
        <w:rPr>
          <w:rFonts w:ascii="Times New (W1)" w:hAnsi="Times New (W1)"/>
        </w:rPr>
        <w:t xml:space="preserve">concediu </w:t>
      </w:r>
      <w:r w:rsidR="003C12A5">
        <w:rPr>
          <w:rFonts w:ascii="Times New (W1)" w:hAnsi="Times New (W1)"/>
        </w:rPr>
        <w:t xml:space="preserve">pentru creşterea copilului până la vârsta de doi ani </w:t>
      </w:r>
      <w:r w:rsidRPr="00D77D8A">
        <w:rPr>
          <w:rFonts w:ascii="Times New (W1)" w:hAnsi="Times New (W1)"/>
        </w:rPr>
        <w:t>şi</w:t>
      </w:r>
      <w:r w:rsidR="003C12A5">
        <w:rPr>
          <w:rFonts w:ascii="Times New (W1)" w:hAnsi="Times New (W1)"/>
        </w:rPr>
        <w:t>,</w:t>
      </w:r>
      <w:r w:rsidRPr="00D77D8A">
        <w:rPr>
          <w:rFonts w:ascii="Times New (W1)" w:hAnsi="Times New (W1)"/>
        </w:rPr>
        <w:t xml:space="preserve"> eventual</w:t>
      </w:r>
      <w:r w:rsidR="003C12A5">
        <w:rPr>
          <w:rFonts w:ascii="Times New (W1)" w:hAnsi="Times New (W1)"/>
        </w:rPr>
        <w:t>,</w:t>
      </w:r>
      <w:r w:rsidRPr="00D77D8A">
        <w:rPr>
          <w:rFonts w:ascii="Times New (W1)" w:hAnsi="Times New (W1)"/>
        </w:rPr>
        <w:t xml:space="preserve"> </w:t>
      </w:r>
      <w:r w:rsidR="003C12A5">
        <w:rPr>
          <w:rFonts w:ascii="Times New (W1)" w:hAnsi="Times New (W1)"/>
        </w:rPr>
        <w:t xml:space="preserve">a </w:t>
      </w:r>
      <w:r w:rsidRPr="00D77D8A">
        <w:rPr>
          <w:rFonts w:ascii="Times New (W1)" w:hAnsi="Times New (W1)"/>
        </w:rPr>
        <w:t>opţiuni</w:t>
      </w:r>
      <w:r w:rsidR="003C12A5">
        <w:rPr>
          <w:rFonts w:ascii="Times New (W1)" w:hAnsi="Times New (W1)"/>
        </w:rPr>
        <w:t xml:space="preserve">lor făcute de către </w:t>
      </w:r>
      <w:r w:rsidRPr="00D77D8A">
        <w:rPr>
          <w:rFonts w:ascii="Times New (W1)" w:hAnsi="Times New (W1)"/>
        </w:rPr>
        <w:t>absolvenţi</w:t>
      </w:r>
      <w:r w:rsidR="003C12A5">
        <w:rPr>
          <w:rFonts w:ascii="Times New (W1)" w:hAnsi="Times New (W1)"/>
        </w:rPr>
        <w:t>i Institutului Naţional al Magistraturii de</w:t>
      </w:r>
      <w:r w:rsidRPr="00D77D8A">
        <w:rPr>
          <w:rFonts w:ascii="Times New (W1)" w:hAnsi="Times New (W1)"/>
        </w:rPr>
        <w:t xml:space="preserve"> a-şi desfăşura activitatea în cadrul Judecătoriei Curtea de </w:t>
      </w:r>
      <w:r w:rsidR="00097416" w:rsidRPr="00D77D8A">
        <w:rPr>
          <w:rFonts w:ascii="Times New (W1)" w:hAnsi="Times New (W1)"/>
        </w:rPr>
        <w:t>A</w:t>
      </w:r>
      <w:r w:rsidRPr="00D77D8A">
        <w:rPr>
          <w:rFonts w:ascii="Times New (W1)" w:hAnsi="Times New (W1)"/>
        </w:rPr>
        <w:t>rgeş.</w:t>
      </w:r>
    </w:p>
    <w:p w:rsidR="00210917" w:rsidRPr="00D77D8A" w:rsidRDefault="00AB0088" w:rsidP="00601355">
      <w:pPr>
        <w:ind w:firstLine="720"/>
        <w:jc w:val="both"/>
        <w:rPr>
          <w:rFonts w:ascii="Times New (W1)" w:hAnsi="Times New (W1)"/>
        </w:rPr>
      </w:pPr>
      <w:r w:rsidRPr="00D77D8A">
        <w:rPr>
          <w:rFonts w:ascii="Times New (W1)" w:hAnsi="Times New (W1)"/>
        </w:rPr>
        <w:t>În viitorul apropiat urmează a dispune şi următoarele măsuri care, apreciem noi</w:t>
      </w:r>
      <w:r w:rsidR="003C12A5">
        <w:rPr>
          <w:rFonts w:ascii="Times New (W1)" w:hAnsi="Times New (W1)"/>
        </w:rPr>
        <w:t>,</w:t>
      </w:r>
      <w:r w:rsidRPr="00D77D8A">
        <w:rPr>
          <w:rFonts w:ascii="Times New (W1)" w:hAnsi="Times New (W1)"/>
        </w:rPr>
        <w:t xml:space="preserve"> că vor conduce la limitarea răspândirii virusului COVID 19:</w:t>
      </w:r>
    </w:p>
    <w:p w:rsidR="00AB0088" w:rsidRPr="00D77D8A" w:rsidRDefault="007D1A94" w:rsidP="003C12A5">
      <w:pPr>
        <w:pStyle w:val="Listparagraf"/>
        <w:numPr>
          <w:ilvl w:val="0"/>
          <w:numId w:val="44"/>
        </w:numPr>
        <w:ind w:left="709" w:hanging="425"/>
        <w:jc w:val="both"/>
        <w:rPr>
          <w:rFonts w:ascii="Times New (W1)" w:hAnsi="Times New (W1)"/>
        </w:rPr>
      </w:pPr>
      <w:r w:rsidRPr="00D77D8A">
        <w:rPr>
          <w:rFonts w:ascii="Times New (W1)" w:hAnsi="Times New (W1)"/>
        </w:rPr>
        <w:t xml:space="preserve">folosirea, pentru şedinţele de judecată, doar a sălii </w:t>
      </w:r>
      <w:r w:rsidR="003C12A5">
        <w:rPr>
          <w:rFonts w:ascii="Times New (W1)" w:hAnsi="Times New (W1)"/>
        </w:rPr>
        <w:t>de şedinţă nr. 1 (sala mare)</w:t>
      </w:r>
      <w:r w:rsidRPr="00D77D8A">
        <w:rPr>
          <w:rFonts w:ascii="Times New (W1)" w:hAnsi="Times New (W1)"/>
        </w:rPr>
        <w:t>, chiar şi în perioada în care numărul d</w:t>
      </w:r>
      <w:r w:rsidR="003C12A5">
        <w:rPr>
          <w:rFonts w:ascii="Times New (W1)" w:hAnsi="Times New (W1)"/>
        </w:rPr>
        <w:t xml:space="preserve">e judecători va fi mai mare de cinci, prin </w:t>
      </w:r>
      <w:r w:rsidRPr="00D77D8A">
        <w:rPr>
          <w:rFonts w:ascii="Times New (W1)" w:hAnsi="Times New (W1)"/>
        </w:rPr>
        <w:t xml:space="preserve">stabilirea unor şedinţelor de judecată la intervale de </w:t>
      </w:r>
      <w:r w:rsidR="003C12A5">
        <w:rPr>
          <w:rFonts w:ascii="Times New (W1)" w:hAnsi="Times New (W1)"/>
        </w:rPr>
        <w:t xml:space="preserve">două </w:t>
      </w:r>
      <w:r w:rsidRPr="00D77D8A">
        <w:rPr>
          <w:rFonts w:ascii="Times New (W1)" w:hAnsi="Times New (W1)"/>
        </w:rPr>
        <w:t xml:space="preserve">săptămâni. Astfel, </w:t>
      </w:r>
      <w:r w:rsidR="003C12A5">
        <w:rPr>
          <w:rFonts w:ascii="Times New (W1)" w:hAnsi="Times New (W1)"/>
        </w:rPr>
        <w:t xml:space="preserve">doi </w:t>
      </w:r>
      <w:r w:rsidRPr="00D77D8A">
        <w:rPr>
          <w:rFonts w:ascii="Times New (W1)" w:hAnsi="Times New (W1)"/>
        </w:rPr>
        <w:t>magistraţi pot folosi aceeaşi sală, în aceeaşi zi a săptămânii</w:t>
      </w:r>
      <w:r w:rsidR="003C12A5">
        <w:rPr>
          <w:rFonts w:ascii="Times New (W1)" w:hAnsi="Times New (W1)"/>
        </w:rPr>
        <w:t>,</w:t>
      </w:r>
      <w:r w:rsidRPr="00D77D8A">
        <w:rPr>
          <w:rFonts w:ascii="Times New (W1)" w:hAnsi="Times New (W1)"/>
        </w:rPr>
        <w:t xml:space="preserve"> dar alternativ, unul o săptămână, altul în următoarea</w:t>
      </w:r>
      <w:r w:rsidR="003C12A5">
        <w:rPr>
          <w:rFonts w:ascii="Times New (W1)" w:hAnsi="Times New (W1)"/>
        </w:rPr>
        <w:t xml:space="preserve"> săptămână</w:t>
      </w:r>
      <w:r w:rsidRPr="00D77D8A">
        <w:rPr>
          <w:rFonts w:ascii="Times New (W1)" w:hAnsi="Times New (W1)"/>
        </w:rPr>
        <w:t>;</w:t>
      </w:r>
    </w:p>
    <w:p w:rsidR="007D1A94" w:rsidRPr="00D77D8A" w:rsidRDefault="00A4345B" w:rsidP="003C12A5">
      <w:pPr>
        <w:pStyle w:val="Listparagraf"/>
        <w:numPr>
          <w:ilvl w:val="0"/>
          <w:numId w:val="44"/>
        </w:numPr>
        <w:ind w:left="709" w:hanging="425"/>
        <w:jc w:val="both"/>
        <w:rPr>
          <w:rFonts w:ascii="Times New (W1)" w:hAnsi="Times New (W1)"/>
        </w:rPr>
      </w:pPr>
      <w:r w:rsidRPr="00D77D8A">
        <w:rPr>
          <w:rFonts w:ascii="Times New (W1)" w:hAnsi="Times New (W1)"/>
        </w:rPr>
        <w:t xml:space="preserve">folosirea sălii </w:t>
      </w:r>
      <w:r w:rsidR="003C12A5">
        <w:rPr>
          <w:rFonts w:ascii="Times New (W1)" w:hAnsi="Times New (W1)"/>
        </w:rPr>
        <w:t xml:space="preserve">de şedinţă nr. 2 (sala mică) </w:t>
      </w:r>
      <w:r w:rsidR="00B21576" w:rsidRPr="00D77D8A">
        <w:rPr>
          <w:rFonts w:ascii="Times New (W1)" w:hAnsi="Times New (W1)"/>
        </w:rPr>
        <w:t xml:space="preserve">doar </w:t>
      </w:r>
      <w:r w:rsidRPr="00D77D8A">
        <w:rPr>
          <w:rFonts w:ascii="Times New (W1)" w:hAnsi="Times New (W1)"/>
        </w:rPr>
        <w:t>pentru cauze urgente</w:t>
      </w:r>
      <w:r w:rsidR="00D9614F" w:rsidRPr="00D77D8A">
        <w:rPr>
          <w:rFonts w:ascii="Times New (W1)" w:hAnsi="Times New (W1)"/>
        </w:rPr>
        <w:t xml:space="preserve"> (</w:t>
      </w:r>
      <w:r w:rsidRPr="00D77D8A">
        <w:rPr>
          <w:rFonts w:ascii="Times New (W1)" w:hAnsi="Times New (W1)"/>
        </w:rPr>
        <w:t>ordine de protecţie,</w:t>
      </w:r>
      <w:r w:rsidR="003C12A5">
        <w:rPr>
          <w:rFonts w:ascii="Times New (W1)" w:hAnsi="Times New (W1)"/>
        </w:rPr>
        <w:t xml:space="preserve"> ordonanţe preşedinţiale, </w:t>
      </w:r>
      <w:r w:rsidRPr="00D77D8A">
        <w:rPr>
          <w:rFonts w:ascii="Times New (W1)" w:hAnsi="Times New (W1)"/>
        </w:rPr>
        <w:t>măsuri preventive</w:t>
      </w:r>
      <w:r w:rsidR="00D9614F" w:rsidRPr="00D77D8A">
        <w:rPr>
          <w:rFonts w:ascii="Times New (W1)" w:hAnsi="Times New (W1)"/>
        </w:rPr>
        <w:t>) ori pentru ş</w:t>
      </w:r>
      <w:r w:rsidRPr="00D77D8A">
        <w:rPr>
          <w:rFonts w:ascii="Times New (W1)" w:hAnsi="Times New (W1)"/>
        </w:rPr>
        <w:t xml:space="preserve">edinţe cu un număr foarte </w:t>
      </w:r>
      <w:r w:rsidR="003C12A5">
        <w:rPr>
          <w:rFonts w:ascii="Times New (W1)" w:hAnsi="Times New (W1)"/>
        </w:rPr>
        <w:t xml:space="preserve">mic </w:t>
      </w:r>
      <w:r w:rsidRPr="00D77D8A">
        <w:rPr>
          <w:rFonts w:ascii="Times New (W1)" w:hAnsi="Times New (W1)"/>
        </w:rPr>
        <w:t>de dosare</w:t>
      </w:r>
      <w:r w:rsidR="003C12A5">
        <w:rPr>
          <w:rFonts w:ascii="Times New (W1)" w:hAnsi="Times New (W1)"/>
        </w:rPr>
        <w:t>,</w:t>
      </w:r>
      <w:r w:rsidR="00B21576" w:rsidRPr="00D77D8A">
        <w:rPr>
          <w:rFonts w:ascii="Times New (W1)" w:hAnsi="Times New (W1)"/>
        </w:rPr>
        <w:t xml:space="preserve"> iar în rest ca şi sală de aşteptare</w:t>
      </w:r>
      <w:r w:rsidRPr="00D77D8A">
        <w:rPr>
          <w:rFonts w:ascii="Times New (W1)" w:hAnsi="Times New (W1)"/>
        </w:rPr>
        <w:t>;</w:t>
      </w:r>
    </w:p>
    <w:p w:rsidR="00A4345B" w:rsidRPr="00D77D8A" w:rsidRDefault="00D9614F" w:rsidP="003C12A5">
      <w:pPr>
        <w:pStyle w:val="Listparagraf"/>
        <w:numPr>
          <w:ilvl w:val="0"/>
          <w:numId w:val="44"/>
        </w:numPr>
        <w:ind w:left="709" w:hanging="425"/>
        <w:jc w:val="both"/>
        <w:rPr>
          <w:rFonts w:ascii="Times New (W1)" w:hAnsi="Times New (W1)"/>
        </w:rPr>
      </w:pPr>
      <w:r w:rsidRPr="00D77D8A">
        <w:rPr>
          <w:rFonts w:ascii="Times New (W1)" w:hAnsi="Times New (W1)"/>
        </w:rPr>
        <w:t xml:space="preserve">amenajarea unor spaţii de aşteptare </w:t>
      </w:r>
      <w:r w:rsidR="00B21576" w:rsidRPr="00D77D8A">
        <w:rPr>
          <w:rFonts w:ascii="Times New (W1)" w:hAnsi="Times New (W1)"/>
        </w:rPr>
        <w:t xml:space="preserve">(montarea de bănci) </w:t>
      </w:r>
      <w:r w:rsidRPr="00D77D8A">
        <w:rPr>
          <w:rFonts w:ascii="Times New (W1)" w:hAnsi="Times New (W1)"/>
        </w:rPr>
        <w:t xml:space="preserve">în curtea interioară a instanţei şi asigurarea unui sistem sonor de apelare a părţilor </w:t>
      </w:r>
      <w:r w:rsidR="00B21576" w:rsidRPr="00D77D8A">
        <w:rPr>
          <w:rFonts w:ascii="Times New (W1)" w:hAnsi="Times New (W1)"/>
        </w:rPr>
        <w:t>aflate în aceste locaţii</w:t>
      </w:r>
      <w:r w:rsidR="00D95EE3" w:rsidRPr="00D77D8A">
        <w:rPr>
          <w:rFonts w:ascii="Times New (W1)" w:hAnsi="Times New (W1)"/>
        </w:rPr>
        <w:t xml:space="preserve">. </w:t>
      </w:r>
    </w:p>
    <w:p w:rsidR="00B21576" w:rsidRPr="00D77D8A" w:rsidRDefault="00D95EE3" w:rsidP="003C12A5">
      <w:pPr>
        <w:pStyle w:val="Listparagraf"/>
        <w:numPr>
          <w:ilvl w:val="0"/>
          <w:numId w:val="44"/>
        </w:numPr>
        <w:ind w:left="709" w:hanging="425"/>
        <w:jc w:val="both"/>
        <w:rPr>
          <w:rFonts w:ascii="Times New (W1)" w:hAnsi="Times New (W1)"/>
        </w:rPr>
      </w:pPr>
      <w:r w:rsidRPr="00D77D8A">
        <w:rPr>
          <w:rFonts w:ascii="Times New (W1)" w:hAnsi="Times New (W1)"/>
        </w:rPr>
        <w:t xml:space="preserve">Continuarea acțiunilor de convingere a părților </w:t>
      </w:r>
      <w:r w:rsidR="003C12A5">
        <w:rPr>
          <w:rFonts w:ascii="Times New (W1)" w:hAnsi="Times New (W1)"/>
        </w:rPr>
        <w:t xml:space="preserve">pentru </w:t>
      </w:r>
      <w:r w:rsidRPr="00D77D8A">
        <w:rPr>
          <w:rFonts w:ascii="Times New (W1)" w:hAnsi="Times New (W1)"/>
        </w:rPr>
        <w:t>utili</w:t>
      </w:r>
      <w:r w:rsidR="003C12A5">
        <w:rPr>
          <w:rFonts w:ascii="Times New (W1)" w:hAnsi="Times New (W1)"/>
        </w:rPr>
        <w:t xml:space="preserve">zarea </w:t>
      </w:r>
      <w:r w:rsidRPr="00D77D8A">
        <w:rPr>
          <w:rFonts w:ascii="Times New (W1)" w:hAnsi="Times New (W1)"/>
        </w:rPr>
        <w:t>mijloacel</w:t>
      </w:r>
      <w:r w:rsidR="003C12A5">
        <w:rPr>
          <w:rFonts w:ascii="Times New (W1)" w:hAnsi="Times New (W1)"/>
        </w:rPr>
        <w:t>or</w:t>
      </w:r>
      <w:r w:rsidRPr="00D77D8A">
        <w:rPr>
          <w:rFonts w:ascii="Times New (W1)" w:hAnsi="Times New (W1)"/>
        </w:rPr>
        <w:t xml:space="preserve"> electronice de comunicare și studi</w:t>
      </w:r>
      <w:r w:rsidR="003C12A5">
        <w:rPr>
          <w:rFonts w:ascii="Times New (W1)" w:hAnsi="Times New (W1)"/>
        </w:rPr>
        <w:t xml:space="preserve">erea dosarelor prin intermediul aplicaţiei </w:t>
      </w:r>
      <w:proofErr w:type="spellStart"/>
      <w:r w:rsidR="003C12A5">
        <w:rPr>
          <w:rFonts w:ascii="Times New (W1)" w:hAnsi="Times New (W1)"/>
        </w:rPr>
        <w:t>Infodosar</w:t>
      </w:r>
      <w:proofErr w:type="spellEnd"/>
      <w:r w:rsidR="003C12A5">
        <w:rPr>
          <w:rFonts w:ascii="Times New (W1)" w:hAnsi="Times New (W1)"/>
        </w:rPr>
        <w:t xml:space="preserve">, precum şi pentru </w:t>
      </w:r>
      <w:r w:rsidR="00D77D8A" w:rsidRPr="00D77D8A">
        <w:rPr>
          <w:rFonts w:ascii="Times New (W1)" w:hAnsi="Times New (W1)"/>
        </w:rPr>
        <w:t>respectarea normelor de igienă și distanțare fizică.</w:t>
      </w:r>
    </w:p>
    <w:p w:rsidR="00D77D8A" w:rsidRPr="00D95EE3" w:rsidRDefault="00D77D8A" w:rsidP="00D77D8A">
      <w:pPr>
        <w:pStyle w:val="Listparagraf"/>
        <w:ind w:left="1080"/>
        <w:jc w:val="both"/>
        <w:rPr>
          <w:rFonts w:ascii="Times New (W1)" w:hAnsi="Times New (W1)"/>
          <w:color w:val="FF0000"/>
        </w:rPr>
      </w:pPr>
    </w:p>
    <w:p w:rsidR="00B21576" w:rsidRPr="00755B13" w:rsidRDefault="00B21576" w:rsidP="00B21576">
      <w:pPr>
        <w:pStyle w:val="Listparagraf"/>
        <w:ind w:left="1080"/>
        <w:jc w:val="both"/>
        <w:rPr>
          <w:rFonts w:ascii="Times New (W1)" w:hAnsi="Times New (W1)"/>
        </w:rPr>
      </w:pPr>
    </w:p>
    <w:p w:rsidR="00A7137C" w:rsidRDefault="00A7137C"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F949B6" w:rsidRDefault="00F949B6" w:rsidP="00A7137C">
      <w:pPr>
        <w:jc w:val="center"/>
        <w:rPr>
          <w:rFonts w:ascii="Times New (W1)" w:hAnsi="Times New (W1)"/>
          <w:b/>
          <w:sz w:val="32"/>
          <w:szCs w:val="32"/>
        </w:rPr>
      </w:pPr>
    </w:p>
    <w:p w:rsidR="00A7137C" w:rsidRPr="00F949B6" w:rsidRDefault="00A7137C" w:rsidP="00755B13">
      <w:pPr>
        <w:pStyle w:val="Listparagraf"/>
        <w:numPr>
          <w:ilvl w:val="0"/>
          <w:numId w:val="45"/>
        </w:numPr>
        <w:jc w:val="center"/>
        <w:rPr>
          <w:rFonts w:ascii="Times New (W1)" w:hAnsi="Times New (W1)"/>
          <w:b/>
          <w:caps/>
          <w:sz w:val="28"/>
          <w:szCs w:val="28"/>
        </w:rPr>
      </w:pPr>
      <w:r w:rsidRPr="00F949B6">
        <w:rPr>
          <w:rFonts w:ascii="Times New (W1)" w:hAnsi="Times New (W1)"/>
          <w:b/>
          <w:caps/>
          <w:sz w:val="28"/>
          <w:szCs w:val="28"/>
        </w:rPr>
        <w:lastRenderedPageBreak/>
        <w:t>Formarea Profesională</w:t>
      </w:r>
      <w:r w:rsidR="00755B13" w:rsidRPr="00F949B6">
        <w:rPr>
          <w:rFonts w:ascii="Times New (W1)" w:hAnsi="Times New (W1)"/>
          <w:b/>
          <w:caps/>
          <w:sz w:val="28"/>
          <w:szCs w:val="28"/>
        </w:rPr>
        <w:t xml:space="preserve"> </w:t>
      </w:r>
      <w:r w:rsidRPr="00F949B6">
        <w:rPr>
          <w:rFonts w:ascii="Times New (W1)" w:hAnsi="Times New (W1)"/>
          <w:b/>
          <w:caps/>
          <w:sz w:val="28"/>
          <w:szCs w:val="28"/>
        </w:rPr>
        <w:t>a personalului</w:t>
      </w:r>
    </w:p>
    <w:p w:rsidR="00A7137C" w:rsidRPr="00F949B6" w:rsidRDefault="00A7137C" w:rsidP="00A7137C">
      <w:pPr>
        <w:ind w:left="708" w:firstLine="708"/>
        <w:jc w:val="both"/>
        <w:rPr>
          <w:b/>
          <w:sz w:val="28"/>
          <w:szCs w:val="28"/>
        </w:rPr>
      </w:pPr>
    </w:p>
    <w:p w:rsidR="00A7137C" w:rsidRPr="00F949B6" w:rsidRDefault="00A7137C" w:rsidP="00A7137C">
      <w:pPr>
        <w:ind w:left="708" w:firstLine="708"/>
        <w:jc w:val="both"/>
        <w:rPr>
          <w:b/>
          <w:color w:val="FF0000"/>
          <w:sz w:val="28"/>
          <w:szCs w:val="28"/>
        </w:rPr>
      </w:pPr>
    </w:p>
    <w:p w:rsidR="00A7137C" w:rsidRPr="000B35C8" w:rsidRDefault="00A7137C" w:rsidP="00A7137C">
      <w:pPr>
        <w:ind w:firstLine="708"/>
        <w:jc w:val="both"/>
      </w:pPr>
      <w:r w:rsidRPr="000B35C8">
        <w:t>Numărul redus de judecători care au funcţionat în cadrul Judecătoriei Curtea de Argeş în cursul anului 2020</w:t>
      </w:r>
      <w:r w:rsidR="00730601">
        <w:t>,</w:t>
      </w:r>
      <w:r w:rsidRPr="000B35C8">
        <w:t xml:space="preserve"> precum şi legăturile socio-profesionale foarte bune dintre aceştia au generat o colaborare extraordinară care a permis depăşirea situaţiilor critice. </w:t>
      </w:r>
    </w:p>
    <w:p w:rsidR="00A7137C" w:rsidRPr="000B35C8" w:rsidRDefault="00A7137C" w:rsidP="00A7137C">
      <w:pPr>
        <w:ind w:firstLine="708"/>
        <w:jc w:val="both"/>
      </w:pPr>
      <w:r w:rsidRPr="000B35C8">
        <w:t xml:space="preserve">Întâlnirile formale destinate formării profesionale nu au fost foarte dese întrucât fiecare perioadă de timp a fost exploatată în favoarea soluţionării cauzelor însă, reuniunile informale, colegiale, s-au realizat ori de câte ori </w:t>
      </w:r>
      <w:r w:rsidR="00317A52">
        <w:t xml:space="preserve">a fost </w:t>
      </w:r>
      <w:r w:rsidRPr="000B35C8">
        <w:t>nevoie pentru lămurirea anumitor probleme de drept.</w:t>
      </w:r>
    </w:p>
    <w:p w:rsidR="00317A52" w:rsidRDefault="009C6590" w:rsidP="00A7137C">
      <w:pPr>
        <w:ind w:firstLine="708"/>
        <w:jc w:val="both"/>
      </w:pPr>
      <w:r>
        <w:t xml:space="preserve">Situaţia epidemiologică internaţională a condus la suspendarea activităţilor privind schimbul de experienţă între magistraţii din cadrul Uniunii Europene, activități la care judecătorii din cadrul acestei instanțe participau în mod regulat. </w:t>
      </w:r>
    </w:p>
    <w:p w:rsidR="009C6590" w:rsidRDefault="009C6590" w:rsidP="00A7137C">
      <w:pPr>
        <w:ind w:firstLine="708"/>
        <w:jc w:val="both"/>
      </w:pPr>
      <w:r>
        <w:t>Însă, chiar și în aceste condiții</w:t>
      </w:r>
      <w:r w:rsidR="00730601">
        <w:t>,</w:t>
      </w:r>
      <w:r>
        <w:t xml:space="preserve"> am reușit performanța de a participa la unele seminarii și programe de formare profesională, desigur toate acestora fiind organizate în sistem </w:t>
      </w:r>
      <w:proofErr w:type="spellStart"/>
      <w:r>
        <w:t>eLearning</w:t>
      </w:r>
      <w:proofErr w:type="spellEnd"/>
      <w:r w:rsidR="00730601">
        <w:t>.</w:t>
      </w:r>
    </w:p>
    <w:p w:rsidR="00A7137C" w:rsidRPr="00C4178C" w:rsidRDefault="009C6590" w:rsidP="009231DD">
      <w:pPr>
        <w:ind w:firstLine="426"/>
        <w:jc w:val="both"/>
      </w:pPr>
      <w:r>
        <w:t>S</w:t>
      </w:r>
      <w:r w:rsidR="00A7137C" w:rsidRPr="00C4178C">
        <w:t>ubliniem următoarele participări:</w:t>
      </w:r>
    </w:p>
    <w:p w:rsidR="00A7137C" w:rsidRPr="00C4178C" w:rsidRDefault="00A7137C" w:rsidP="00730601">
      <w:pPr>
        <w:numPr>
          <w:ilvl w:val="0"/>
          <w:numId w:val="32"/>
        </w:numPr>
        <w:tabs>
          <w:tab w:val="clear" w:pos="1350"/>
          <w:tab w:val="num" w:pos="709"/>
        </w:tabs>
        <w:ind w:left="709" w:hanging="425"/>
        <w:jc w:val="both"/>
      </w:pPr>
      <w:proofErr w:type="spellStart"/>
      <w:r w:rsidRPr="00C4178C">
        <w:t>Cîrstea</w:t>
      </w:r>
      <w:proofErr w:type="spellEnd"/>
      <w:r w:rsidRPr="00C4178C">
        <w:t xml:space="preserve"> Elena – Inteligenţa emoţională şi comunicarea eficientă; </w:t>
      </w:r>
    </w:p>
    <w:p w:rsidR="00A7137C" w:rsidRPr="00C4178C" w:rsidRDefault="00A7137C" w:rsidP="00730601">
      <w:pPr>
        <w:numPr>
          <w:ilvl w:val="0"/>
          <w:numId w:val="32"/>
        </w:numPr>
        <w:tabs>
          <w:tab w:val="clear" w:pos="1350"/>
          <w:tab w:val="num" w:pos="709"/>
        </w:tabs>
        <w:ind w:left="709" w:hanging="425"/>
        <w:jc w:val="both"/>
      </w:pPr>
      <w:proofErr w:type="spellStart"/>
      <w:r w:rsidRPr="00C4178C">
        <w:t>Covaşă-Ungureanu</w:t>
      </w:r>
      <w:proofErr w:type="spellEnd"/>
      <w:r w:rsidRPr="00C4178C">
        <w:t xml:space="preserve"> Ana-Marcela – Inteligenţa emoţională şi comunicarea eficientă; </w:t>
      </w:r>
    </w:p>
    <w:p w:rsidR="00A7137C" w:rsidRPr="00C4178C" w:rsidRDefault="00A7137C" w:rsidP="00730601">
      <w:pPr>
        <w:numPr>
          <w:ilvl w:val="0"/>
          <w:numId w:val="32"/>
        </w:numPr>
        <w:tabs>
          <w:tab w:val="clear" w:pos="1350"/>
          <w:tab w:val="num" w:pos="709"/>
        </w:tabs>
        <w:ind w:left="709" w:hanging="425"/>
        <w:jc w:val="both"/>
      </w:pPr>
      <w:r w:rsidRPr="00C4178C">
        <w:t xml:space="preserve">Floroiu Adrian – Atribuţiile grefierului de şedinţă în ceea ce priveşte soluţiile pronunţate de judecătorul de cameră preliminară; </w:t>
      </w:r>
    </w:p>
    <w:p w:rsidR="00A7137C" w:rsidRPr="00C4178C" w:rsidRDefault="00A7137C" w:rsidP="00730601">
      <w:pPr>
        <w:numPr>
          <w:ilvl w:val="0"/>
          <w:numId w:val="32"/>
        </w:numPr>
        <w:tabs>
          <w:tab w:val="clear" w:pos="1350"/>
          <w:tab w:val="num" w:pos="709"/>
        </w:tabs>
        <w:ind w:left="709" w:hanging="425"/>
        <w:jc w:val="both"/>
      </w:pPr>
      <w:r w:rsidRPr="00C4178C">
        <w:t xml:space="preserve">Floroiu Adrian – Dezvoltarea rezilienţei la situaţiile conflictuale şi la critică în contextul profesional, exersarea unor modalităţi alternative de soluţionare a conflictelor; </w:t>
      </w:r>
    </w:p>
    <w:p w:rsidR="00AD6EB6" w:rsidRDefault="00A7137C" w:rsidP="00730601">
      <w:pPr>
        <w:numPr>
          <w:ilvl w:val="0"/>
          <w:numId w:val="32"/>
        </w:numPr>
        <w:tabs>
          <w:tab w:val="clear" w:pos="1350"/>
          <w:tab w:val="num" w:pos="709"/>
        </w:tabs>
        <w:ind w:left="709" w:hanging="425"/>
        <w:jc w:val="both"/>
      </w:pPr>
      <w:r w:rsidRPr="00C4178C">
        <w:t>Şerban Elisabeta – Asociaţii şi fundaţii</w:t>
      </w:r>
      <w:r>
        <w:t>.</w:t>
      </w:r>
      <w:r w:rsidRPr="00C4178C">
        <w:t xml:space="preserve"> Elemente de practică neunitară</w:t>
      </w:r>
      <w:r>
        <w:t xml:space="preserve">. </w:t>
      </w:r>
    </w:p>
    <w:p w:rsidR="00A7137C" w:rsidRPr="00AD6EB6" w:rsidRDefault="00AD6EB6" w:rsidP="00730601">
      <w:pPr>
        <w:ind w:left="3" w:firstLine="717"/>
        <w:jc w:val="both"/>
      </w:pPr>
      <w:r w:rsidRPr="00AD6EB6">
        <w:t>Pregătirea profesională a magistraților și personalului auxiliar din cadrul Judecătoriei Curtea de Argeș a condus și la obținerea unor rezultate notabile</w:t>
      </w:r>
      <w:r w:rsidR="00730601">
        <w:t>,</w:t>
      </w:r>
      <w:r w:rsidRPr="00AD6EB6">
        <w:t xml:space="preserve"> precum obținerea gradului de judecător de curte de apel de către doamna judecător Dragomir Luisa</w:t>
      </w:r>
      <w:r w:rsidR="00730601">
        <w:t>-</w:t>
      </w:r>
      <w:r w:rsidRPr="00AD6EB6">
        <w:t>Emanuel</w:t>
      </w:r>
      <w:r w:rsidR="00730601">
        <w:t>a</w:t>
      </w:r>
      <w:r w:rsidRPr="00AD6EB6">
        <w:t xml:space="preserve"> și </w:t>
      </w:r>
      <w:r w:rsidR="001F081F">
        <w:t xml:space="preserve">ocuparea unei funcții de expert în </w:t>
      </w:r>
      <w:r w:rsidR="00730601">
        <w:t xml:space="preserve">implementare – asistent al judecătorului </w:t>
      </w:r>
      <w:r w:rsidR="001F081F">
        <w:t>de către domnul grefier Floroiu Adrian</w:t>
      </w:r>
      <w:r w:rsidR="00730601">
        <w:t>, în cadrul proiectului „Optimizarea managementului la nivelul sistemului judiciar. Componenta de instanțe judecătorești” desfăşurat de Consiliul Superior al Magistraturii</w:t>
      </w:r>
      <w:r w:rsidR="00A2061F">
        <w:t>.</w:t>
      </w: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F949B6" w:rsidRDefault="00F949B6" w:rsidP="00F949B6">
      <w:pPr>
        <w:pStyle w:val="Listparagraf"/>
        <w:ind w:left="1080"/>
        <w:rPr>
          <w:b/>
          <w:sz w:val="32"/>
          <w:szCs w:val="32"/>
        </w:rPr>
      </w:pPr>
    </w:p>
    <w:p w:rsidR="00A7137C" w:rsidRPr="00F949B6" w:rsidRDefault="00A7137C" w:rsidP="00755B13">
      <w:pPr>
        <w:pStyle w:val="Listparagraf"/>
        <w:numPr>
          <w:ilvl w:val="0"/>
          <w:numId w:val="45"/>
        </w:numPr>
        <w:jc w:val="center"/>
        <w:rPr>
          <w:b/>
          <w:sz w:val="28"/>
          <w:szCs w:val="28"/>
        </w:rPr>
      </w:pPr>
      <w:r w:rsidRPr="00F949B6">
        <w:rPr>
          <w:b/>
          <w:sz w:val="28"/>
          <w:szCs w:val="28"/>
        </w:rPr>
        <w:lastRenderedPageBreak/>
        <w:t>INFRASTRUCTURA INSTANŢEI</w:t>
      </w:r>
    </w:p>
    <w:p w:rsidR="00A7137C" w:rsidRPr="00755B13" w:rsidRDefault="00A7137C" w:rsidP="00755B13">
      <w:pPr>
        <w:jc w:val="center"/>
        <w:rPr>
          <w:b/>
        </w:rPr>
      </w:pPr>
    </w:p>
    <w:p w:rsidR="00A7137C" w:rsidRPr="002F5F22" w:rsidRDefault="00A7137C" w:rsidP="00A7137C">
      <w:pPr>
        <w:jc w:val="both"/>
        <w:rPr>
          <w:b/>
          <w:color w:val="FF0000"/>
        </w:rPr>
      </w:pPr>
    </w:p>
    <w:p w:rsidR="005A6B5F" w:rsidRPr="00C4653A" w:rsidRDefault="00A7137C" w:rsidP="00C4653A">
      <w:pPr>
        <w:jc w:val="both"/>
      </w:pPr>
      <w:r w:rsidRPr="002F5F22">
        <w:rPr>
          <w:color w:val="FF0000"/>
        </w:rPr>
        <w:tab/>
      </w:r>
      <w:r w:rsidR="005A6B5F" w:rsidRPr="00C4653A">
        <w:t>Sediul Judecătoriei Curtea de Argeş este compus din două clădiri, cea principală</w:t>
      </w:r>
      <w:r w:rsidR="00730601">
        <w:t xml:space="preserve"> (corpul A)</w:t>
      </w:r>
      <w:r w:rsidR="005A6B5F" w:rsidRPr="00C4653A">
        <w:t xml:space="preserve"> în care se regăsesc sălile de judecată, birourile judecătorilor şi o parte din birourile grefierilor şi o a doua </w:t>
      </w:r>
      <w:r w:rsidR="00730601">
        <w:t xml:space="preserve">(corpul B) </w:t>
      </w:r>
      <w:r w:rsidR="005A6B5F" w:rsidRPr="00C4653A">
        <w:t>în care se regăsesc</w:t>
      </w:r>
      <w:r w:rsidR="00730601">
        <w:t>,</w:t>
      </w:r>
      <w:r w:rsidR="005A6B5F" w:rsidRPr="00C4653A">
        <w:t xml:space="preserve"> pe lângă birourile unora dintre grefieri, Biroul de executări penale, Biroul de executări civile şi biroul în care îşi desfăşoară activitatea unul dintre consilierii de probaţiune din cadrul Serviciului de Probaţiune Argeş.</w:t>
      </w:r>
    </w:p>
    <w:p w:rsidR="007C610F" w:rsidRPr="00C4653A" w:rsidRDefault="00A7137C" w:rsidP="005A6B5F">
      <w:pPr>
        <w:ind w:firstLine="720"/>
        <w:jc w:val="both"/>
      </w:pPr>
      <w:r w:rsidRPr="00C4653A">
        <w:t>Judecătoria Curtea de Argeş este dotată cu două săli de şedinţă</w:t>
      </w:r>
      <w:r w:rsidR="007C610F" w:rsidRPr="00C4653A">
        <w:t xml:space="preserve"> şi un număr de </w:t>
      </w:r>
      <w:r w:rsidR="00730601">
        <w:t>2</w:t>
      </w:r>
      <w:r w:rsidR="004A7C72">
        <w:t>9</w:t>
      </w:r>
      <w:r w:rsidR="007C610F" w:rsidRPr="00C4653A">
        <w:t xml:space="preserve"> de încăperi amenajate ca şi </w:t>
      </w:r>
      <w:r w:rsidR="00730601">
        <w:t xml:space="preserve">spaţii de </w:t>
      </w:r>
      <w:r w:rsidR="007C610F" w:rsidRPr="00C4653A">
        <w:t>lucru</w:t>
      </w:r>
      <w:r w:rsidR="00730601">
        <w:t>,</w:t>
      </w:r>
      <w:r w:rsidR="007C610F" w:rsidRPr="00C4653A">
        <w:t xml:space="preserve"> din care</w:t>
      </w:r>
      <w:r w:rsidR="00730601">
        <w:t>:</w:t>
      </w:r>
      <w:r w:rsidR="007C610F" w:rsidRPr="00C4653A">
        <w:t xml:space="preserve"> </w:t>
      </w:r>
      <w:r w:rsidR="00987F7B">
        <w:t>2</w:t>
      </w:r>
      <w:r w:rsidR="004A7C72">
        <w:t>1</w:t>
      </w:r>
      <w:r w:rsidR="00D43C3B" w:rsidRPr="00C4653A">
        <w:t xml:space="preserve"> </w:t>
      </w:r>
      <w:r w:rsidR="007C610F" w:rsidRPr="00C4653A">
        <w:t xml:space="preserve">în corpul principal şi </w:t>
      </w:r>
      <w:r w:rsidR="00730601">
        <w:t>8</w:t>
      </w:r>
      <w:r w:rsidR="007C610F" w:rsidRPr="00C4653A">
        <w:t xml:space="preserve"> în cel secundar.</w:t>
      </w:r>
    </w:p>
    <w:p w:rsidR="007C610F" w:rsidRPr="00C4653A" w:rsidRDefault="007C610F" w:rsidP="005A6B5F">
      <w:pPr>
        <w:ind w:firstLine="720"/>
        <w:jc w:val="both"/>
      </w:pPr>
      <w:r w:rsidRPr="00C4653A">
        <w:t>În corpul principal de clădire se regăsesc biroul preşedintelui instanţei, al</w:t>
      </w:r>
      <w:r w:rsidR="00730601">
        <w:t>e judecătorilor, al grefierului-</w:t>
      </w:r>
      <w:r w:rsidRPr="00C4653A">
        <w:t>şef, o parte din birourile personalului auxiliar şi conex, biblioteca instanţei</w:t>
      </w:r>
      <w:r w:rsidR="00730601">
        <w:t xml:space="preserve">, </w:t>
      </w:r>
      <w:r w:rsidRPr="00C4653A">
        <w:t>camera în se soluţionează dosarele având caracter confidenţial şi în care se păstrează toate registrele speciale şi celelalte documente specifice</w:t>
      </w:r>
      <w:r w:rsidR="00730601">
        <w:t>, arhiva şi registratura instanţei</w:t>
      </w:r>
      <w:r w:rsidRPr="00C4653A">
        <w:t>.</w:t>
      </w:r>
    </w:p>
    <w:p w:rsidR="00755B13" w:rsidRPr="00C4653A" w:rsidRDefault="007C610F" w:rsidP="005A6B5F">
      <w:pPr>
        <w:ind w:firstLine="720"/>
        <w:jc w:val="both"/>
      </w:pPr>
      <w:r w:rsidRPr="00C4653A">
        <w:t xml:space="preserve">Pentru judecători, inclusiv preşedintele instanţei, sunt alocate un număr de </w:t>
      </w:r>
      <w:r w:rsidR="007A2C80" w:rsidRPr="00C4653A">
        <w:t xml:space="preserve">6 birouri dintre care </w:t>
      </w:r>
      <w:r w:rsidR="00987F7B">
        <w:t>două p</w:t>
      </w:r>
      <w:r w:rsidR="007A2C80" w:rsidRPr="00C4653A">
        <w:t>ermit, prin prisma suprafeţei mai mari</w:t>
      </w:r>
      <w:r w:rsidR="002D7D69" w:rsidRPr="00C4653A">
        <w:t xml:space="preserve">, folosirea lor de către </w:t>
      </w:r>
      <w:r w:rsidR="00987F7B">
        <w:t xml:space="preserve">două </w:t>
      </w:r>
      <w:r w:rsidR="002D7D69" w:rsidRPr="00C4653A">
        <w:t xml:space="preserve">persoane. Aşadar, </w:t>
      </w:r>
      <w:r w:rsidR="00755B13" w:rsidRPr="00C4653A">
        <w:t>birourile alocate magistraților permit lucru simultan pentru 8 persoane</w:t>
      </w:r>
      <w:r w:rsidR="00987F7B">
        <w:t>,</w:t>
      </w:r>
      <w:r w:rsidR="00755B13" w:rsidRPr="00C4653A">
        <w:t xml:space="preserve"> deși schema de personal prevede doar 7 posturi.</w:t>
      </w:r>
    </w:p>
    <w:p w:rsidR="00D43C3B" w:rsidRPr="00C4653A" w:rsidRDefault="000745D4" w:rsidP="00755B13">
      <w:pPr>
        <w:jc w:val="both"/>
      </w:pPr>
      <w:r w:rsidRPr="00C4653A">
        <w:tab/>
      </w:r>
      <w:r w:rsidR="00D43C3B" w:rsidRPr="00C4653A">
        <w:t>Tot în corpul principal sunt amenajate un număr de 11 birouri din care unul este ocupat de grefierul</w:t>
      </w:r>
      <w:r w:rsidR="00987F7B">
        <w:t>-</w:t>
      </w:r>
      <w:r w:rsidR="00D43C3B" w:rsidRPr="00C4653A">
        <w:t xml:space="preserve">şef, </w:t>
      </w:r>
      <w:r w:rsidR="00987F7B">
        <w:t>10</w:t>
      </w:r>
      <w:r w:rsidR="007C54CC" w:rsidRPr="00C4653A">
        <w:t xml:space="preserve"> de către grefieri şi unul de agentul procedural.</w:t>
      </w:r>
    </w:p>
    <w:p w:rsidR="007C54CC" w:rsidRPr="00C4653A" w:rsidRDefault="008E5B55" w:rsidP="00755B13">
      <w:pPr>
        <w:jc w:val="both"/>
      </w:pPr>
      <w:r w:rsidRPr="00C4653A">
        <w:tab/>
        <w:t xml:space="preserve">La parterul </w:t>
      </w:r>
      <w:r w:rsidR="00987F7B">
        <w:t xml:space="preserve">clădirii principale </w:t>
      </w:r>
      <w:r w:rsidRPr="00C4653A">
        <w:t xml:space="preserve">a fost amenajat un </w:t>
      </w:r>
      <w:r w:rsidR="004A7C72">
        <w:t xml:space="preserve">spaţiu în care justiţiabilii pot studia dosarele instanţei şi un </w:t>
      </w:r>
      <w:r w:rsidRPr="00C4653A">
        <w:t>birou pentru avocaţii din cadrul Baroului Argeş</w:t>
      </w:r>
      <w:r w:rsidR="00140224" w:rsidRPr="00C4653A">
        <w:t>.</w:t>
      </w:r>
    </w:p>
    <w:p w:rsidR="00140224" w:rsidRPr="00C4653A" w:rsidRDefault="00140224" w:rsidP="00755B13">
      <w:pPr>
        <w:jc w:val="both"/>
      </w:pPr>
      <w:r w:rsidRPr="00C4653A">
        <w:tab/>
        <w:t>Biblioteca instanţei este folosită în mod curent de procurorul de şedinţă pentru studierea dosarelor aflate pe rol.</w:t>
      </w:r>
    </w:p>
    <w:p w:rsidR="002C3356" w:rsidRPr="00C4653A" w:rsidRDefault="00123587" w:rsidP="00755B13">
      <w:pPr>
        <w:jc w:val="both"/>
      </w:pPr>
      <w:r w:rsidRPr="00C4653A">
        <w:tab/>
      </w:r>
      <w:r w:rsidR="002C41CF" w:rsidRPr="00C4653A">
        <w:t xml:space="preserve">Cele </w:t>
      </w:r>
      <w:r w:rsidR="00987F7B">
        <w:t>8</w:t>
      </w:r>
      <w:r w:rsidR="002C41CF" w:rsidRPr="00C4653A">
        <w:t xml:space="preserve"> </w:t>
      </w:r>
      <w:r w:rsidR="00987F7B">
        <w:t xml:space="preserve">spaţii de lucru aflate </w:t>
      </w:r>
      <w:r w:rsidR="002C41CF" w:rsidRPr="00C4653A">
        <w:t xml:space="preserve">în </w:t>
      </w:r>
      <w:r w:rsidR="00987F7B">
        <w:t xml:space="preserve">clădirea secundară </w:t>
      </w:r>
      <w:r w:rsidR="002C41CF" w:rsidRPr="00C4653A">
        <w:t xml:space="preserve">sunt folosite de 4 grefieri, aprodul instanţei şi consilierul din cadrul Serviciului de </w:t>
      </w:r>
      <w:r w:rsidR="0001520A" w:rsidRPr="00C4653A">
        <w:t>Probaţiune Argeş</w:t>
      </w:r>
      <w:r w:rsidR="002A37C7" w:rsidRPr="00C4653A">
        <w:t>.</w:t>
      </w:r>
      <w:r w:rsidR="00987F7B">
        <w:t xml:space="preserve"> Dintre acestea, unul a fost folosit pentru depozitarea materialelor electorale ce urmează a fi predate după expirarea termenului de păstrare.  </w:t>
      </w:r>
    </w:p>
    <w:p w:rsidR="002A37C7" w:rsidRPr="00C4653A" w:rsidRDefault="00E217AC" w:rsidP="00755B13">
      <w:pPr>
        <w:jc w:val="both"/>
      </w:pPr>
      <w:r w:rsidRPr="00C4653A">
        <w:tab/>
        <w:t xml:space="preserve">Muncitorul calificat al instanţei </w:t>
      </w:r>
      <w:r w:rsidR="00987F7B">
        <w:t xml:space="preserve">îşi desfăşoară activitatea în toată instanţa, având totodată ca spaţiu de lucru camera </w:t>
      </w:r>
      <w:r w:rsidRPr="00C4653A">
        <w:t>în care se află montat</w:t>
      </w:r>
      <w:r w:rsidR="00987F7B">
        <w:t>e</w:t>
      </w:r>
      <w:r w:rsidRPr="00C4653A">
        <w:t xml:space="preserve"> central</w:t>
      </w:r>
      <w:r w:rsidR="00987F7B">
        <w:t xml:space="preserve">ele </w:t>
      </w:r>
      <w:r w:rsidRPr="00C4653A">
        <w:t>termic</w:t>
      </w:r>
      <w:r w:rsidR="00987F7B">
        <w:t>e</w:t>
      </w:r>
      <w:r w:rsidRPr="00C4653A">
        <w:t xml:space="preserve"> </w:t>
      </w:r>
      <w:r w:rsidR="00987F7B">
        <w:t xml:space="preserve">ce asigură încălzirea spaţiilor din incinta instanţei </w:t>
      </w:r>
      <w:r w:rsidR="00380F85" w:rsidRPr="00C4653A">
        <w:t>(</w:t>
      </w:r>
      <w:r w:rsidR="00987F7B">
        <w:t xml:space="preserve">cameră </w:t>
      </w:r>
      <w:r w:rsidR="00380F85" w:rsidRPr="00C4653A">
        <w:t>situată la demisolul corpului principal)</w:t>
      </w:r>
      <w:r w:rsidR="00987F7B">
        <w:t>,</w:t>
      </w:r>
      <w:r w:rsidR="00380F85" w:rsidRPr="00C4653A">
        <w:t xml:space="preserve"> </w:t>
      </w:r>
      <w:r w:rsidRPr="00C4653A">
        <w:t>iar şoferul instanţei în garajul în care este parcat autoturismul</w:t>
      </w:r>
      <w:r w:rsidR="00EF04D2" w:rsidRPr="00C4653A">
        <w:t xml:space="preserve"> (situat la </w:t>
      </w:r>
      <w:r w:rsidR="00987F7B">
        <w:t xml:space="preserve">demisolul </w:t>
      </w:r>
      <w:r w:rsidR="00EF04D2" w:rsidRPr="00C4653A">
        <w:t>corpului</w:t>
      </w:r>
      <w:r w:rsidR="00987F7B">
        <w:t xml:space="preserve"> secundar</w:t>
      </w:r>
      <w:r w:rsidR="00EF04D2" w:rsidRPr="00C4653A">
        <w:t>)</w:t>
      </w:r>
      <w:r w:rsidRPr="00C4653A">
        <w:t>.</w:t>
      </w:r>
    </w:p>
    <w:p w:rsidR="00A7137C" w:rsidRPr="00C4653A" w:rsidRDefault="00F746DB" w:rsidP="00A7137C">
      <w:pPr>
        <w:jc w:val="both"/>
      </w:pPr>
      <w:r w:rsidRPr="00C4653A">
        <w:tab/>
      </w:r>
      <w:r w:rsidR="00A7137C" w:rsidRPr="00C4653A">
        <w:t xml:space="preserve">Fiecare magistrat şi grefier are acces la </w:t>
      </w:r>
      <w:r w:rsidR="00987F7B">
        <w:t>o staţie de lucru proprie (calculator), cu acces la</w:t>
      </w:r>
      <w:r w:rsidR="004A7C72">
        <w:t xml:space="preserve"> mai multe </w:t>
      </w:r>
      <w:r w:rsidR="00A7137C" w:rsidRPr="00C4653A">
        <w:t>reţe</w:t>
      </w:r>
      <w:r w:rsidR="004A7C72">
        <w:t xml:space="preserve">le </w:t>
      </w:r>
      <w:r w:rsidR="00A7137C" w:rsidRPr="00C4653A">
        <w:t>de informaţii</w:t>
      </w:r>
      <w:r w:rsidR="004A7C72">
        <w:t>, iar în aproape fiecare birou sunt instalate imprimante sau multifuncţionale</w:t>
      </w:r>
      <w:r w:rsidR="00A7137C" w:rsidRPr="00C4653A">
        <w:t>.</w:t>
      </w:r>
    </w:p>
    <w:p w:rsidR="00A7137C" w:rsidRPr="00C4653A" w:rsidRDefault="00A7137C" w:rsidP="00A7137C">
      <w:pPr>
        <w:jc w:val="both"/>
      </w:pPr>
      <w:r w:rsidRPr="00C4653A">
        <w:tab/>
      </w:r>
      <w:r w:rsidR="0094359F" w:rsidRPr="00C4653A">
        <w:t xml:space="preserve">Instanța este dotată cu </w:t>
      </w:r>
      <w:r w:rsidR="004A7C72">
        <w:t xml:space="preserve">trei </w:t>
      </w:r>
      <w:r w:rsidRPr="00C4653A">
        <w:t>multifuncţional</w:t>
      </w:r>
      <w:r w:rsidR="0094359F" w:rsidRPr="00C4653A">
        <w:t>e</w:t>
      </w:r>
      <w:r w:rsidRPr="00C4653A">
        <w:t xml:space="preserve"> care asigură servicii de copiere, fax, poştă electronică şi scanner. Pentru activitatea de arhivare electronică </w:t>
      </w:r>
      <w:r w:rsidR="0094359F" w:rsidRPr="00C4653A">
        <w:t xml:space="preserve">sunt folosite alte </w:t>
      </w:r>
      <w:r w:rsidR="004A7C72">
        <w:t>trei s</w:t>
      </w:r>
      <w:r w:rsidR="0094359F" w:rsidRPr="00C4653A">
        <w:t>cannere</w:t>
      </w:r>
      <w:r w:rsidRPr="00C4653A">
        <w:t xml:space="preserve">. </w:t>
      </w:r>
    </w:p>
    <w:p w:rsidR="00A7137C" w:rsidRPr="00C4653A" w:rsidRDefault="00A7137C" w:rsidP="00A7137C">
      <w:pPr>
        <w:ind w:firstLine="708"/>
        <w:jc w:val="both"/>
      </w:pPr>
      <w:r w:rsidRPr="00C4653A">
        <w:t xml:space="preserve">Instanţa este dotată cu o centrală telefonică, având alocate </w:t>
      </w:r>
      <w:r w:rsidR="00165AB3" w:rsidRPr="00C4653A">
        <w:t xml:space="preserve">două </w:t>
      </w:r>
      <w:r w:rsidRPr="00C4653A">
        <w:t xml:space="preserve">numere </w:t>
      </w:r>
      <w:r w:rsidR="00AE78C9" w:rsidRPr="00C4653A">
        <w:t>(</w:t>
      </w:r>
      <w:r w:rsidR="00165AB3" w:rsidRPr="00C4653A">
        <w:t xml:space="preserve">ambele pentru </w:t>
      </w:r>
      <w:r w:rsidR="00AE78C9" w:rsidRPr="00C4653A">
        <w:t xml:space="preserve">fax și unul </w:t>
      </w:r>
      <w:r w:rsidR="00165AB3" w:rsidRPr="00C4653A">
        <w:t xml:space="preserve">singur </w:t>
      </w:r>
      <w:r w:rsidR="00216719" w:rsidRPr="00C4653A">
        <w:t xml:space="preserve">pentru </w:t>
      </w:r>
      <w:r w:rsidR="00AE78C9" w:rsidRPr="00C4653A">
        <w:t xml:space="preserve">telefon) </w:t>
      </w:r>
      <w:r w:rsidRPr="00C4653A">
        <w:t xml:space="preserve">care asigură </w:t>
      </w:r>
      <w:r w:rsidR="004A7C72">
        <w:t xml:space="preserve">legătura personalului instanţei cu </w:t>
      </w:r>
      <w:r w:rsidRPr="00C4653A">
        <w:t>exteriorul</w:t>
      </w:r>
      <w:r w:rsidR="00E029E1" w:rsidRPr="00C4653A">
        <w:t xml:space="preserve"> </w:t>
      </w:r>
      <w:r w:rsidR="004A7C72">
        <w:t xml:space="preserve">şi invers </w:t>
      </w:r>
      <w:r w:rsidR="00E029E1" w:rsidRPr="00C4653A">
        <w:t xml:space="preserve">și </w:t>
      </w:r>
      <w:r w:rsidR="004A7C72">
        <w:t xml:space="preserve">două </w:t>
      </w:r>
      <w:r w:rsidR="00AF34A4" w:rsidRPr="00C4653A">
        <w:t xml:space="preserve">sisteme de videoconferință, instalate în cele </w:t>
      </w:r>
      <w:r w:rsidR="004A7C72">
        <w:t xml:space="preserve">două </w:t>
      </w:r>
      <w:r w:rsidR="00AF34A4" w:rsidRPr="00C4653A">
        <w:t>săli de ședință.</w:t>
      </w:r>
    </w:p>
    <w:p w:rsidR="00A7137C" w:rsidRPr="00C4653A" w:rsidRDefault="00A7137C" w:rsidP="00A7137C">
      <w:pPr>
        <w:jc w:val="both"/>
      </w:pPr>
      <w:r w:rsidRPr="00C4653A">
        <w:tab/>
        <w:t xml:space="preserve">Arhiva curentă a Judecătoriei Curtea de Argeş beneficiază de </w:t>
      </w:r>
      <w:r w:rsidR="004A7C72">
        <w:t xml:space="preserve">două </w:t>
      </w:r>
      <w:r w:rsidRPr="00C4653A">
        <w:t>încăper</w:t>
      </w:r>
      <w:r w:rsidR="004A7C72">
        <w:t>i</w:t>
      </w:r>
      <w:r w:rsidRPr="00C4653A">
        <w:t xml:space="preserve">, </w:t>
      </w:r>
      <w:r w:rsidR="004A7C72">
        <w:t xml:space="preserve">una în care sunt depozitate dosare, iar cealaltă amenajată pentru justiţiabili în scopul studierii dosarelor instanţei, </w:t>
      </w:r>
      <w:r w:rsidRPr="00C4653A">
        <w:t xml:space="preserve">accesul </w:t>
      </w:r>
      <w:r w:rsidR="004A7C72">
        <w:t xml:space="preserve">acestora </w:t>
      </w:r>
      <w:r w:rsidRPr="00C4653A">
        <w:t>făcându-se printr-un spaţiu special amenajat (ghişeu)</w:t>
      </w:r>
      <w:r w:rsidR="004A7C72">
        <w:t>. Ar</w:t>
      </w:r>
      <w:r w:rsidRPr="00C4653A">
        <w:t xml:space="preserve">hiva veche destinată conservării dosarelor </w:t>
      </w:r>
      <w:r w:rsidR="004A7C72">
        <w:t xml:space="preserve">este împărţită în trei spaţii aflate la subsolurile celor două corpuri de clădire. </w:t>
      </w:r>
    </w:p>
    <w:p w:rsidR="00A7137C" w:rsidRPr="00C4653A" w:rsidRDefault="00A7137C" w:rsidP="00A7137C">
      <w:pPr>
        <w:ind w:firstLine="720"/>
        <w:jc w:val="both"/>
      </w:pPr>
      <w:r w:rsidRPr="00C4653A">
        <w:lastRenderedPageBreak/>
        <w:t>Biroul de executări civile şi Biroul de executări penale nu arhivează separat dosarele de executare, grefierii desemnaţi efectuând doar lucrările specifice. Aceste birouri păstrează dosarele pe toată durata executării hotărârilor, până la închiderea poziţiilor în registrele speciale, creându-se astfel mini-arhive proprii, în birourile grefierilor delegaţi</w:t>
      </w:r>
      <w:r w:rsidR="004A7C72">
        <w:t xml:space="preserve">, după care dosarele sunt predate pentru conservare grefierului-arhivar. </w:t>
      </w:r>
      <w:r w:rsidRPr="00C4653A">
        <w:t xml:space="preserve"> </w:t>
      </w:r>
    </w:p>
    <w:p w:rsidR="00A7137C" w:rsidRPr="00C4653A" w:rsidRDefault="00A7137C" w:rsidP="00A7137C">
      <w:pPr>
        <w:ind w:firstLine="708"/>
        <w:jc w:val="both"/>
      </w:pPr>
      <w:r w:rsidRPr="00C4653A">
        <w:t xml:space="preserve">Grefierul-şef ţine evidenţa persoanelor juridice care dobândesc personalitate juridică, în baza hotărârii instanţei, efectuând toate modificările ulterioare şi arhivând dosarele separat de celelalte dosare aflate în arhivă. </w:t>
      </w:r>
    </w:p>
    <w:p w:rsidR="00A7137C" w:rsidRPr="00C4653A" w:rsidRDefault="00A7137C" w:rsidP="00A7137C">
      <w:pPr>
        <w:jc w:val="both"/>
      </w:pPr>
      <w:r w:rsidRPr="00C4653A">
        <w:tab/>
        <w:t xml:space="preserve">Dosarele aflate în procedura de regularizare în materie civilă şi cele aflate în procedura de cameră preliminară în materie penală sunt ţinute în birouri de către grefierii desemnaţi a desfăşura această activitate, ele fiind transmise în arhivă după fixarea primului termen de judecată. </w:t>
      </w:r>
    </w:p>
    <w:p w:rsidR="00C77CFF" w:rsidRPr="00C4653A" w:rsidRDefault="00A7137C" w:rsidP="00A7137C">
      <w:pPr>
        <w:ind w:firstLine="708"/>
        <w:jc w:val="both"/>
      </w:pPr>
      <w:r w:rsidRPr="00C4653A">
        <w:t xml:space="preserve">Compartimentul Registratură beneficiază de trei încăperi, în </w:t>
      </w:r>
      <w:r w:rsidR="00105CFE" w:rsidRPr="00C4653A">
        <w:t xml:space="preserve">care funcţionează </w:t>
      </w:r>
      <w:r w:rsidR="00E268B2">
        <w:t xml:space="preserve">doi </w:t>
      </w:r>
      <w:r w:rsidR="00105CFE" w:rsidRPr="00C4653A">
        <w:t>grefieri</w:t>
      </w:r>
      <w:r w:rsidRPr="00C4653A">
        <w:t>: unul care primeşte</w:t>
      </w:r>
      <w:r w:rsidR="00E268B2">
        <w:t xml:space="preserve">, </w:t>
      </w:r>
      <w:r w:rsidRPr="00C4653A">
        <w:t>înregistrează</w:t>
      </w:r>
      <w:r w:rsidR="00E268B2">
        <w:t xml:space="preserve"> şi distribuie </w:t>
      </w:r>
      <w:r w:rsidRPr="00C4653A">
        <w:t>corespondenţa primită la instanţă, indiferent de modul de transmitere</w:t>
      </w:r>
      <w:r w:rsidR="00247602" w:rsidRPr="00C4653A">
        <w:t xml:space="preserve"> </w:t>
      </w:r>
      <w:r w:rsidR="00E268B2">
        <w:t xml:space="preserve">al acesteia </w:t>
      </w:r>
      <w:r w:rsidR="00247602" w:rsidRPr="00C4653A">
        <w:t xml:space="preserve">şi </w:t>
      </w:r>
      <w:r w:rsidRPr="00C4653A">
        <w:t>unul care repartizează actele de sesizare a instanţei</w:t>
      </w:r>
      <w:r w:rsidR="00E268B2">
        <w:t>,</w:t>
      </w:r>
      <w:r w:rsidRPr="00C4653A">
        <w:t xml:space="preserve"> în ordinea primirii acestora</w:t>
      </w:r>
      <w:r w:rsidR="00E268B2">
        <w:t>, persoană care deţine şi funcţia de grefier delegat la Biroul de Informare şi Relaţii Publice</w:t>
      </w:r>
      <w:r w:rsidR="00247602" w:rsidRPr="00C4653A">
        <w:t xml:space="preserve">. </w:t>
      </w:r>
    </w:p>
    <w:p w:rsidR="00A7137C" w:rsidRPr="00C4653A" w:rsidRDefault="00247602" w:rsidP="00E268B2">
      <w:pPr>
        <w:ind w:firstLine="708"/>
        <w:jc w:val="both"/>
      </w:pPr>
      <w:r w:rsidRPr="00C4653A">
        <w:t>În cel de</w:t>
      </w:r>
      <w:r w:rsidR="00E268B2">
        <w:t>-</w:t>
      </w:r>
      <w:r w:rsidRPr="00C4653A">
        <w:t xml:space="preserve">al </w:t>
      </w:r>
      <w:r w:rsidR="00E268B2">
        <w:t xml:space="preserve">treilea </w:t>
      </w:r>
      <w:r w:rsidRPr="00C4653A">
        <w:t>birou este instalat scanerul</w:t>
      </w:r>
      <w:r w:rsidR="00E268B2">
        <w:t xml:space="preserve"> cu ajutorul căruia sunt scanate documentele pentru crearea </w:t>
      </w:r>
      <w:r w:rsidR="00A7137C" w:rsidRPr="00C4653A">
        <w:t>dosarul</w:t>
      </w:r>
      <w:r w:rsidR="00E268B2">
        <w:t>ui</w:t>
      </w:r>
      <w:r w:rsidR="00A7137C" w:rsidRPr="00C4653A">
        <w:t xml:space="preserve"> electronic</w:t>
      </w:r>
      <w:r w:rsidR="00E268B2">
        <w:t>, operaţiuni desfăşurate de cei doi grefieri delegaţi la acest compartiment şi de agentul procedural</w:t>
      </w:r>
      <w:r w:rsidRPr="00C4653A">
        <w:t xml:space="preserve"> şi </w:t>
      </w:r>
      <w:r w:rsidR="00E268B2">
        <w:t>multifuncţionalul (imprimantă, copiator, fax, email)</w:t>
      </w:r>
      <w:r w:rsidR="00A7137C" w:rsidRPr="00C4653A">
        <w:t xml:space="preserve">. </w:t>
      </w:r>
    </w:p>
    <w:p w:rsidR="00A7137C" w:rsidRPr="00C4653A" w:rsidRDefault="00A7137C" w:rsidP="00A7137C">
      <w:pPr>
        <w:ind w:firstLine="708"/>
        <w:jc w:val="both"/>
      </w:pPr>
      <w:r w:rsidRPr="00C4653A">
        <w:t xml:space="preserve">Sediul Judecătoriei Curtea de Argeş are amenajat un spaţiu cu destinaţia de bibliotecă, dar principala sursă de informare a judecătorului rămâne cea oferită în sistem informatic, unde actualizarea actelor normative se face în timp util. </w:t>
      </w:r>
      <w:r w:rsidR="00F81108" w:rsidRPr="00C4653A">
        <w:t>Aşa cum am arătat anterior, în bibliotecă este permis accesul procurorului de</w:t>
      </w:r>
      <w:r w:rsidR="00034E0E" w:rsidRPr="00C4653A">
        <w:t xml:space="preserve"> </w:t>
      </w:r>
      <w:r w:rsidR="00F81108" w:rsidRPr="00C4653A">
        <w:t>şedinţă pentru a studia dosarele aflate pe rol.</w:t>
      </w:r>
    </w:p>
    <w:p w:rsidR="00A7137C" w:rsidRPr="00C4653A" w:rsidRDefault="00A7137C" w:rsidP="00A7137C">
      <w:pPr>
        <w:ind w:firstLine="708"/>
        <w:jc w:val="both"/>
      </w:pPr>
      <w:r w:rsidRPr="00C4653A">
        <w:t>În cursul anului 2017 a</w:t>
      </w:r>
      <w:r w:rsidR="00E268B2">
        <w:t>u</w:t>
      </w:r>
      <w:r w:rsidRPr="00C4653A">
        <w:t xml:space="preserve"> fost amenajat</w:t>
      </w:r>
      <w:r w:rsidR="00E268B2">
        <w:t>e</w:t>
      </w:r>
      <w:r w:rsidRPr="00C4653A">
        <w:t xml:space="preserve">, în sediul instanţei, </w:t>
      </w:r>
      <w:r w:rsidR="00E268B2">
        <w:t>două încăperi î</w:t>
      </w:r>
      <w:r w:rsidRPr="00C4653A">
        <w:t>n care urma să-şi desfăşoare activitatea specifică funcţiei, unul dintre consilierii de probaţiune din cadrul Serviciului de Probaţiune Argeş. Măsura în cauză s-a dovedit a fi foarte utilă, eficientizând foarte mult procedurile de supraveghere a pedepselor neprivative de libertate sau a altor măsuri cu caracter penal (măsurile educative aplicate minorilor, măsura amânării aplicării pedepsei închisorii, etc.), fiind apreciată de conducerea Direcției Naționale de Probațiune din România</w:t>
      </w:r>
      <w:r w:rsidR="00B54FE4">
        <w:t>, precum şi de s</w:t>
      </w:r>
      <w:r w:rsidRPr="00C4653A">
        <w:t>tructur</w:t>
      </w:r>
      <w:r w:rsidR="00B54FE4">
        <w:t xml:space="preserve">a </w:t>
      </w:r>
      <w:r w:rsidRPr="00C4653A">
        <w:t>similar</w:t>
      </w:r>
      <w:r w:rsidR="00B54FE4">
        <w:t>ă</w:t>
      </w:r>
      <w:r w:rsidRPr="00C4653A">
        <w:t xml:space="preserve"> din Republica Moldova</w:t>
      </w:r>
      <w:r w:rsidR="00E268B2">
        <w:t>,</w:t>
      </w:r>
      <w:r w:rsidRPr="00C4653A">
        <w:t xml:space="preserve"> cu ocazia vizitei de lucru c</w:t>
      </w:r>
      <w:r w:rsidR="00B54FE4">
        <w:t xml:space="preserve">e </w:t>
      </w:r>
      <w:r w:rsidRPr="00C4653A">
        <w:t>a avut loc în cursul anului 2018.</w:t>
      </w:r>
    </w:p>
    <w:p w:rsidR="00A7137C" w:rsidRPr="00C4653A" w:rsidRDefault="00A7137C" w:rsidP="00A7137C">
      <w:pPr>
        <w:ind w:firstLine="708"/>
        <w:jc w:val="both"/>
      </w:pPr>
      <w:r w:rsidRPr="00C4653A">
        <w:t>Pe termen scurt, ne propunem nu doar menținerea aceste structuri</w:t>
      </w:r>
      <w:r w:rsidR="00B54FE4">
        <w:t>,</w:t>
      </w:r>
      <w:r w:rsidRPr="00C4653A">
        <w:t xml:space="preserve"> ci și dezvoltarea ei la un nivel care să permită supravegherea tuturor persoanelor în sarcina cărora s-au dispus astfel de măsuri și care își au domiciliul în circumscripția Judecătoriei Curtea de Argeș.</w:t>
      </w:r>
    </w:p>
    <w:p w:rsidR="00C77CFF" w:rsidRPr="00C4653A" w:rsidRDefault="00A7137C" w:rsidP="00A7137C">
      <w:pPr>
        <w:ind w:firstLine="708"/>
        <w:jc w:val="both"/>
      </w:pPr>
      <w:r w:rsidRPr="00C4653A">
        <w:t xml:space="preserve">Sediul principal al instanței a fost edificat în perioada 1914-1916, iar ultimele lucrări de renovare au avut loc în anul 1995, când a fost </w:t>
      </w:r>
      <w:r w:rsidR="00B54FE4">
        <w:t xml:space="preserve">construit </w:t>
      </w:r>
      <w:r w:rsidRPr="00C4653A">
        <w:t xml:space="preserve">și corpul B. </w:t>
      </w:r>
    </w:p>
    <w:p w:rsidR="002326A9" w:rsidRPr="00C4653A" w:rsidRDefault="00A7137C" w:rsidP="00A7137C">
      <w:pPr>
        <w:ind w:firstLine="708"/>
        <w:jc w:val="both"/>
      </w:pPr>
      <w:r w:rsidRPr="00C4653A">
        <w:t>În cursul an</w:t>
      </w:r>
      <w:r w:rsidR="00526AAC" w:rsidRPr="00C4653A">
        <w:t xml:space="preserve">ilor </w:t>
      </w:r>
      <w:r w:rsidRPr="00C4653A">
        <w:t xml:space="preserve">2019 </w:t>
      </w:r>
      <w:r w:rsidR="00526AAC" w:rsidRPr="00C4653A">
        <w:t xml:space="preserve">și 2020 </w:t>
      </w:r>
      <w:r w:rsidR="00F7109C" w:rsidRPr="00C4653A">
        <w:t xml:space="preserve">au fost efectuate </w:t>
      </w:r>
      <w:r w:rsidR="002326A9" w:rsidRPr="00C4653A">
        <w:t xml:space="preserve">însă </w:t>
      </w:r>
      <w:r w:rsidRPr="00C4653A">
        <w:t>primel</w:t>
      </w:r>
      <w:r w:rsidR="00F7109C" w:rsidRPr="00C4653A">
        <w:t xml:space="preserve">e </w:t>
      </w:r>
      <w:r w:rsidRPr="00C4653A">
        <w:t>activități majore de renovare a acestui sediu</w:t>
      </w:r>
      <w:r w:rsidR="002326A9" w:rsidRPr="00C4653A">
        <w:t xml:space="preserve">. </w:t>
      </w:r>
    </w:p>
    <w:p w:rsidR="002326A9" w:rsidRPr="00C4653A" w:rsidRDefault="00A7137C" w:rsidP="00A7137C">
      <w:pPr>
        <w:ind w:firstLine="708"/>
        <w:jc w:val="both"/>
      </w:pPr>
      <w:r w:rsidRPr="00C4653A">
        <w:t xml:space="preserve">Sprijinul acordat </w:t>
      </w:r>
      <w:r w:rsidR="002326A9" w:rsidRPr="00C4653A">
        <w:t xml:space="preserve">de </w:t>
      </w:r>
      <w:r w:rsidR="00B54FE4">
        <w:t xml:space="preserve">către </w:t>
      </w:r>
      <w:r w:rsidR="00C556A6" w:rsidRPr="00C4653A">
        <w:t xml:space="preserve">Președintele </w:t>
      </w:r>
      <w:r w:rsidRPr="00C4653A">
        <w:t xml:space="preserve">Curții de Apel Pitești </w:t>
      </w:r>
      <w:r w:rsidR="002326A9" w:rsidRPr="00C4653A">
        <w:t xml:space="preserve">și </w:t>
      </w:r>
      <w:r w:rsidR="00C556A6" w:rsidRPr="00C4653A">
        <w:t xml:space="preserve">al </w:t>
      </w:r>
      <w:r w:rsidR="002326A9" w:rsidRPr="00C4653A">
        <w:t xml:space="preserve">Tribunalului Argeș </w:t>
      </w:r>
      <w:r w:rsidRPr="00C4653A">
        <w:t>a fost determinant în inițierea lucrărilor de reparații la nivelul acoperișurilor celor două corpuri de clădire,</w:t>
      </w:r>
      <w:r w:rsidR="002326A9" w:rsidRPr="00C4653A">
        <w:t xml:space="preserve"> renovarea a </w:t>
      </w:r>
      <w:r w:rsidR="00B54FE4">
        <w:t>patru g</w:t>
      </w:r>
      <w:r w:rsidR="002326A9" w:rsidRPr="00C4653A">
        <w:t xml:space="preserve">rupuri sanitare, </w:t>
      </w:r>
      <w:r w:rsidR="00887820" w:rsidRPr="00C4653A">
        <w:t>reabilitarea căi</w:t>
      </w:r>
      <w:r w:rsidR="00B54FE4">
        <w:t xml:space="preserve">i </w:t>
      </w:r>
      <w:r w:rsidR="00887820" w:rsidRPr="00C4653A">
        <w:t xml:space="preserve">principale de acces în instanță (trepte şi aleea de acces la corpul </w:t>
      </w:r>
      <w:r w:rsidR="00B54FE4">
        <w:t>principal</w:t>
      </w:r>
      <w:r w:rsidR="00887820" w:rsidRPr="00C4653A">
        <w:t>)</w:t>
      </w:r>
      <w:r w:rsidR="00F501C0" w:rsidRPr="00C4653A">
        <w:t>, zugrăveli interioare</w:t>
      </w:r>
      <w:r w:rsidR="00F943A2" w:rsidRPr="00C4653A">
        <w:t>.</w:t>
      </w:r>
    </w:p>
    <w:p w:rsidR="00F943A2" w:rsidRPr="00C4653A" w:rsidRDefault="00A7137C" w:rsidP="00A7137C">
      <w:pPr>
        <w:ind w:firstLine="708"/>
        <w:jc w:val="both"/>
      </w:pPr>
      <w:r w:rsidRPr="00C4653A">
        <w:t>Pentru anul 202</w:t>
      </w:r>
      <w:r w:rsidR="00F943A2" w:rsidRPr="00C4653A">
        <w:t>1</w:t>
      </w:r>
      <w:r w:rsidRPr="00C4653A">
        <w:t xml:space="preserve"> ne propunem </w:t>
      </w:r>
      <w:r w:rsidR="00F943A2" w:rsidRPr="00C4653A">
        <w:t xml:space="preserve">finalizarea </w:t>
      </w:r>
      <w:r w:rsidRPr="00C4653A">
        <w:t xml:space="preserve">lucrărilor de renovare </w:t>
      </w:r>
      <w:r w:rsidR="00F943A2" w:rsidRPr="00C4653A">
        <w:t>a grupurilor sanitare (fiind necesar</w:t>
      </w:r>
      <w:r w:rsidR="00B54FE4">
        <w:t>ă</w:t>
      </w:r>
      <w:r w:rsidR="00F943A2" w:rsidRPr="00C4653A">
        <w:t xml:space="preserve"> renovarea a încă </w:t>
      </w:r>
      <w:r w:rsidR="00B54FE4">
        <w:t xml:space="preserve">trei </w:t>
      </w:r>
      <w:r w:rsidR="00F943A2" w:rsidRPr="00C4653A">
        <w:t xml:space="preserve">asemenea grupuri) </w:t>
      </w:r>
      <w:r w:rsidRPr="00C4653A">
        <w:t xml:space="preserve">și </w:t>
      </w:r>
      <w:r w:rsidR="008A00DA" w:rsidRPr="00C4653A">
        <w:t xml:space="preserve">a celor de </w:t>
      </w:r>
      <w:r w:rsidR="00F943A2" w:rsidRPr="00C4653A">
        <w:t>zugrăv</w:t>
      </w:r>
      <w:r w:rsidR="00B54FE4">
        <w:t>ire în interior,</w:t>
      </w:r>
      <w:r w:rsidR="00CC2AD5" w:rsidRPr="00C4653A">
        <w:t xml:space="preserve"> dar și continuarea lucrărilor de reabilitare a celor </w:t>
      </w:r>
      <w:r w:rsidR="00B54FE4">
        <w:t xml:space="preserve">două corpuri de clădire </w:t>
      </w:r>
      <w:r w:rsidR="00CC2AD5" w:rsidRPr="00C4653A">
        <w:t>și a curții interioare, respectiv:</w:t>
      </w:r>
    </w:p>
    <w:p w:rsidR="00CC2AD5" w:rsidRPr="00C4653A" w:rsidRDefault="00A7137C" w:rsidP="00B54FE4">
      <w:pPr>
        <w:numPr>
          <w:ilvl w:val="0"/>
          <w:numId w:val="50"/>
        </w:numPr>
        <w:ind w:left="709" w:hanging="425"/>
        <w:jc w:val="both"/>
      </w:pPr>
      <w:r w:rsidRPr="00C4653A">
        <w:t xml:space="preserve">lucrări de </w:t>
      </w:r>
      <w:r w:rsidR="00CC2AD5" w:rsidRPr="00C4653A">
        <w:t>tencuire, reabilitare și zugrăveli exterioare;</w:t>
      </w:r>
    </w:p>
    <w:p w:rsidR="00CC2AD5" w:rsidRPr="00C4653A" w:rsidRDefault="00CC2AD5" w:rsidP="00B54FE4">
      <w:pPr>
        <w:numPr>
          <w:ilvl w:val="0"/>
          <w:numId w:val="50"/>
        </w:numPr>
        <w:ind w:left="709" w:hanging="425"/>
        <w:jc w:val="both"/>
      </w:pPr>
      <w:r w:rsidRPr="00C4653A">
        <w:lastRenderedPageBreak/>
        <w:t>extinderea rețelei de iluminare a curții interioare, urmărindu-se achiziționarea de proiectoare solare;</w:t>
      </w:r>
    </w:p>
    <w:p w:rsidR="009271E6" w:rsidRPr="00C4653A" w:rsidRDefault="00A7137C" w:rsidP="00B54FE4">
      <w:pPr>
        <w:numPr>
          <w:ilvl w:val="0"/>
          <w:numId w:val="50"/>
        </w:numPr>
        <w:ind w:left="709" w:hanging="425"/>
        <w:jc w:val="both"/>
      </w:pPr>
      <w:r w:rsidRPr="00C4653A">
        <w:t>amenajarea curții interioare</w:t>
      </w:r>
      <w:r w:rsidR="009271E6" w:rsidRPr="00C4653A">
        <w:t xml:space="preserve"> prin refacerea covorului asfaltic şi amenajarea unor locuri de aşteptare pentru justiţiabili;</w:t>
      </w:r>
    </w:p>
    <w:p w:rsidR="00A7137C" w:rsidRPr="00C4653A" w:rsidRDefault="00A7137C" w:rsidP="00B54FE4">
      <w:pPr>
        <w:numPr>
          <w:ilvl w:val="0"/>
          <w:numId w:val="50"/>
        </w:numPr>
        <w:ind w:left="709" w:hanging="425"/>
        <w:jc w:val="both"/>
      </w:pPr>
      <w:r w:rsidRPr="00C4653A">
        <w:t>renovarea sau, după caz, înlocuirea elementelor de tâmplărie ale ferestrelor exterioare</w:t>
      </w:r>
      <w:r w:rsidR="00B5214E" w:rsidRPr="00C4653A">
        <w:t xml:space="preserve"> şi uşilor interioare</w:t>
      </w:r>
      <w:r w:rsidRPr="00C4653A">
        <w:t>;</w:t>
      </w:r>
    </w:p>
    <w:p w:rsidR="00A7137C" w:rsidRPr="00C4653A" w:rsidRDefault="00A7137C" w:rsidP="00B54FE4">
      <w:pPr>
        <w:numPr>
          <w:ilvl w:val="0"/>
          <w:numId w:val="50"/>
        </w:numPr>
        <w:ind w:left="709" w:hanging="425"/>
        <w:jc w:val="both"/>
      </w:pPr>
      <w:r w:rsidRPr="00C4653A">
        <w:t>reabilitarea sau, după caz, înlocuirea mobilierului din material lemnos aflat în sălile de judecată şi birouri;</w:t>
      </w:r>
    </w:p>
    <w:p w:rsidR="00D858EA" w:rsidRPr="00C4653A" w:rsidRDefault="00A7137C" w:rsidP="00A7137C">
      <w:pPr>
        <w:ind w:firstLine="708"/>
        <w:jc w:val="both"/>
      </w:pPr>
      <w:r w:rsidRPr="00C4653A">
        <w:t xml:space="preserve">În domeniul tehnicii de lucru, </w:t>
      </w:r>
      <w:r w:rsidR="00B54FE4">
        <w:t>reţinem faptul că</w:t>
      </w:r>
      <w:r w:rsidR="00D858EA" w:rsidRPr="00C4653A">
        <w:t xml:space="preserve"> aceasta a fost modernizată în cursul anului 20</w:t>
      </w:r>
      <w:r w:rsidR="00B54FE4">
        <w:t>20,</w:t>
      </w:r>
      <w:r w:rsidR="00D858EA" w:rsidRPr="00C4653A">
        <w:t xml:space="preserve"> </w:t>
      </w:r>
      <w:r w:rsidR="00B54FE4">
        <w:t>fiind înlocuite toate staţiile de lucru ale magistraţilor şi personalului auxiliar de specialitate</w:t>
      </w:r>
      <w:r w:rsidR="00D858EA" w:rsidRPr="00C4653A">
        <w:t xml:space="preserve">. </w:t>
      </w:r>
    </w:p>
    <w:p w:rsidR="00D858EA" w:rsidRPr="00C4653A" w:rsidRDefault="00D858EA" w:rsidP="00A7137C">
      <w:pPr>
        <w:ind w:firstLine="708"/>
        <w:jc w:val="both"/>
      </w:pPr>
      <w:r w:rsidRPr="00C4653A">
        <w:t>Subliniem însă faptul că, în cursul anului 2020 a fost pus în funcţiune cel de</w:t>
      </w:r>
      <w:r w:rsidR="00B54FE4">
        <w:t>-</w:t>
      </w:r>
      <w:r w:rsidRPr="00C4653A">
        <w:t xml:space="preserve">al </w:t>
      </w:r>
      <w:r w:rsidR="00B54FE4">
        <w:t xml:space="preserve">doilea </w:t>
      </w:r>
      <w:r w:rsidRPr="00C4653A">
        <w:t xml:space="preserve">echipament care asigură </w:t>
      </w:r>
      <w:r w:rsidR="00B54FE4">
        <w:t xml:space="preserve">desfăşurarea şedinţelor de judecată prin </w:t>
      </w:r>
      <w:r w:rsidRPr="00C4653A">
        <w:t>video-conferinţă, astfel că, la acest moment, ambele săli de judecată sunt dotate cu sisteme de natură a permite audierea la distanţă a persoanelor</w:t>
      </w:r>
      <w:r w:rsidR="00B54FE4">
        <w:t xml:space="preserve"> private de libertate</w:t>
      </w:r>
      <w:r w:rsidRPr="00C4653A">
        <w:t>.</w:t>
      </w:r>
    </w:p>
    <w:p w:rsidR="00A7137C" w:rsidRPr="002F5F22" w:rsidRDefault="00A7137C" w:rsidP="00A7137C">
      <w:pPr>
        <w:jc w:val="both"/>
        <w:rPr>
          <w:b/>
          <w:color w:val="FF0000"/>
          <w:u w:val="single"/>
        </w:rPr>
      </w:pPr>
    </w:p>
    <w:p w:rsidR="00A7137C" w:rsidRDefault="00A7137C"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B54FE4" w:rsidP="00A7137C">
      <w:pPr>
        <w:jc w:val="both"/>
        <w:rPr>
          <w:b/>
          <w:color w:val="FF0000"/>
          <w:u w:val="single"/>
        </w:rPr>
      </w:pPr>
    </w:p>
    <w:p w:rsidR="00B54FE4" w:rsidRDefault="00F949B6" w:rsidP="00F949B6">
      <w:pPr>
        <w:jc w:val="center"/>
        <w:rPr>
          <w:b/>
          <w:sz w:val="28"/>
          <w:szCs w:val="28"/>
        </w:rPr>
      </w:pPr>
      <w:r>
        <w:rPr>
          <w:b/>
          <w:sz w:val="28"/>
          <w:szCs w:val="28"/>
        </w:rPr>
        <w:lastRenderedPageBreak/>
        <w:t xml:space="preserve">VI. </w:t>
      </w:r>
      <w:r w:rsidR="00A7137C" w:rsidRPr="00F949B6">
        <w:rPr>
          <w:b/>
          <w:sz w:val="28"/>
          <w:szCs w:val="28"/>
        </w:rPr>
        <w:t>CONCLUZII</w:t>
      </w:r>
      <w:r w:rsidR="00B54FE4">
        <w:rPr>
          <w:b/>
          <w:sz w:val="28"/>
          <w:szCs w:val="28"/>
        </w:rPr>
        <w:t xml:space="preserve">. </w:t>
      </w:r>
    </w:p>
    <w:p w:rsidR="00A7137C" w:rsidRPr="00F949B6" w:rsidRDefault="00A7137C" w:rsidP="00F949B6">
      <w:pPr>
        <w:jc w:val="center"/>
        <w:rPr>
          <w:b/>
          <w:sz w:val="28"/>
          <w:szCs w:val="28"/>
        </w:rPr>
      </w:pPr>
      <w:r w:rsidRPr="00F949B6">
        <w:rPr>
          <w:b/>
          <w:sz w:val="28"/>
          <w:szCs w:val="28"/>
        </w:rPr>
        <w:t>PROPUNERI ÎN VEDEREA</w:t>
      </w:r>
      <w:r w:rsidR="00B54FE4">
        <w:rPr>
          <w:b/>
          <w:sz w:val="28"/>
          <w:szCs w:val="28"/>
        </w:rPr>
        <w:t xml:space="preserve"> </w:t>
      </w:r>
      <w:r w:rsidRPr="00F949B6">
        <w:rPr>
          <w:b/>
          <w:sz w:val="28"/>
          <w:szCs w:val="28"/>
        </w:rPr>
        <w:t>ÎMBUNĂTĂŢIRII ACTIVITĂŢII</w:t>
      </w:r>
    </w:p>
    <w:p w:rsidR="00A7137C" w:rsidRPr="00F949B6" w:rsidRDefault="00A7137C" w:rsidP="00F949B6">
      <w:pPr>
        <w:jc w:val="center"/>
        <w:rPr>
          <w:sz w:val="28"/>
          <w:szCs w:val="28"/>
        </w:rPr>
      </w:pPr>
    </w:p>
    <w:p w:rsidR="00A7137C" w:rsidRPr="00FA60A7" w:rsidRDefault="00A7137C" w:rsidP="00A7137C">
      <w:pPr>
        <w:jc w:val="center"/>
        <w:rPr>
          <w:sz w:val="28"/>
          <w:szCs w:val="28"/>
        </w:rPr>
      </w:pPr>
    </w:p>
    <w:p w:rsidR="00F22984" w:rsidRPr="00FA60A7" w:rsidRDefault="00A7137C" w:rsidP="007A6DA8">
      <w:pPr>
        <w:jc w:val="both"/>
      </w:pPr>
      <w:r w:rsidRPr="00FA60A7">
        <w:tab/>
        <w:t xml:space="preserve">Anul </w:t>
      </w:r>
      <w:r w:rsidR="00F8139A" w:rsidRPr="00FA60A7">
        <w:t xml:space="preserve">2020 </w:t>
      </w:r>
      <w:r w:rsidRPr="00FA60A7">
        <w:t xml:space="preserve">a fost, în mod evident, un an mult mai dificil decât </w:t>
      </w:r>
      <w:r w:rsidR="00F8139A" w:rsidRPr="00FA60A7">
        <w:t>anii precedenţi,</w:t>
      </w:r>
      <w:r w:rsidRPr="00FA60A7">
        <w:t xml:space="preserve"> în special datorită </w:t>
      </w:r>
      <w:r w:rsidR="004F048B" w:rsidRPr="00FA60A7">
        <w:t xml:space="preserve">numărului ridicat de dosare </w:t>
      </w:r>
      <w:r w:rsidRPr="00FA60A7">
        <w:t xml:space="preserve">înregistrate pe rol şi a numărului redus de magistraţi care au funcţionat în instanţă. </w:t>
      </w:r>
      <w:r w:rsidR="00FC471A" w:rsidRPr="00FA60A7">
        <w:t>Desigur</w:t>
      </w:r>
      <w:r w:rsidR="00B54FE4">
        <w:t>,</w:t>
      </w:r>
      <w:r w:rsidR="00FC471A" w:rsidRPr="00FA60A7">
        <w:t xml:space="preserve"> buna desfăşurare a activităţii instanţei a fost afectată şi de situaţia epidemiologică </w:t>
      </w:r>
      <w:r w:rsidR="00CA75E2" w:rsidRPr="00FA60A7">
        <w:t>cu care se confruntă întreaga umanitate</w:t>
      </w:r>
      <w:r w:rsidR="00B54FE4">
        <w:t>,</w:t>
      </w:r>
      <w:r w:rsidR="00CA75E2" w:rsidRPr="00FA60A7">
        <w:t xml:space="preserve"> </w:t>
      </w:r>
      <w:r w:rsidR="00F22984" w:rsidRPr="00FA60A7">
        <w:t>însă evident, aceste aspecte nu sunt unele particulare</w:t>
      </w:r>
      <w:r w:rsidR="00FA60A7">
        <w:t xml:space="preserve"> acestei judecătorii</w:t>
      </w:r>
      <w:r w:rsidR="00F22984" w:rsidRPr="00FA60A7">
        <w:t>.</w:t>
      </w:r>
    </w:p>
    <w:p w:rsidR="002941FE" w:rsidRPr="00FA60A7" w:rsidRDefault="00154133" w:rsidP="00A7137C">
      <w:pPr>
        <w:ind w:firstLine="708"/>
        <w:jc w:val="both"/>
      </w:pPr>
      <w:r w:rsidRPr="00FA60A7">
        <w:t xml:space="preserve">Constatăm că </w:t>
      </w:r>
      <w:r w:rsidR="006B51F2" w:rsidRPr="00FA60A7">
        <w:t>în cursul anului 2020 a scăzut numărul de dosare înregistrate pe rolul instanței însă, această scădere nu a fost una substanțială</w:t>
      </w:r>
      <w:r w:rsidR="009872C0">
        <w:t>,</w:t>
      </w:r>
      <w:r w:rsidR="006B51F2" w:rsidRPr="00FA60A7">
        <w:t xml:space="preserve"> ci mai degrabă insignifiantă</w:t>
      </w:r>
      <w:r w:rsidR="009872C0">
        <w:t>,</w:t>
      </w:r>
      <w:r w:rsidR="006B51F2" w:rsidRPr="00FA60A7">
        <w:t xml:space="preserve"> astfel că,  în anul 2021</w:t>
      </w:r>
      <w:r w:rsidR="009872C0">
        <w:t>,</w:t>
      </w:r>
      <w:r w:rsidR="006B51F2" w:rsidRPr="00FA60A7">
        <w:t xml:space="preserve"> ne propunem a analiza și</w:t>
      </w:r>
      <w:r w:rsidR="009872C0">
        <w:t>,</w:t>
      </w:r>
      <w:r w:rsidR="006B51F2" w:rsidRPr="00FA60A7">
        <w:t xml:space="preserve"> eventual</w:t>
      </w:r>
      <w:r w:rsidR="009872C0">
        <w:t>,</w:t>
      </w:r>
      <w:r w:rsidR="006B51F2" w:rsidRPr="00FA60A7">
        <w:t xml:space="preserve"> a demara procedurile necesare măririi schemei de judecători cu un post.</w:t>
      </w:r>
    </w:p>
    <w:p w:rsidR="005232FE" w:rsidRPr="00FA60A7" w:rsidRDefault="00FF79EC" w:rsidP="00A7137C">
      <w:pPr>
        <w:ind w:firstLine="708"/>
        <w:jc w:val="both"/>
      </w:pPr>
      <w:r w:rsidRPr="00FA60A7">
        <w:t>Chiar dacă la acest moment schema de judecători din cadrul instanței nu este completă, iar demararea procedurii de mărire a ei ar părea lipsită de interes, considerăm că o asemenea măsur</w:t>
      </w:r>
      <w:r w:rsidR="00722559" w:rsidRPr="00FA60A7">
        <w:t>ă</w:t>
      </w:r>
      <w:r w:rsidRPr="00FA60A7">
        <w:t xml:space="preserve"> ar fi necesară în condițiile în care o sch</w:t>
      </w:r>
      <w:r w:rsidR="00722559" w:rsidRPr="00FA60A7">
        <w:t>e</w:t>
      </w:r>
      <w:r w:rsidRPr="00FA60A7">
        <w:t xml:space="preserve">mă </w:t>
      </w:r>
      <w:r w:rsidR="00722559" w:rsidRPr="00FA60A7">
        <w:t>redimensionată ar permite pe viitor limitarea efectelor generate de lipsa unui</w:t>
      </w:r>
      <w:r w:rsidR="009872C0">
        <w:t>a</w:t>
      </w:r>
      <w:r w:rsidR="00722559" w:rsidRPr="00FA60A7">
        <w:t xml:space="preserve"> sau mai multor magistrați.</w:t>
      </w:r>
    </w:p>
    <w:p w:rsidR="00722559" w:rsidRPr="00FA60A7" w:rsidRDefault="00F0121C" w:rsidP="00A7137C">
      <w:pPr>
        <w:ind w:firstLine="708"/>
        <w:jc w:val="both"/>
      </w:pPr>
      <w:r w:rsidRPr="00FA60A7">
        <w:t xml:space="preserve">Nu trebuie omis și faptul că măsurile dispuse de autoritățile competente pentru limitarea efectelor generate de pandemia Covid 19 </w:t>
      </w:r>
      <w:r w:rsidR="00C921A1" w:rsidRPr="00FA60A7">
        <w:t>conduc la limitarea cauzelor care pot fi alocate unei ședințe de judecată</w:t>
      </w:r>
      <w:r w:rsidR="009872C0">
        <w:t>,</w:t>
      </w:r>
      <w:r w:rsidR="00C921A1" w:rsidRPr="00FA60A7">
        <w:t xml:space="preserve"> cu consecințe directe asupra termenului în care pot fi finalizate dosarele. Or, dreptul părții la soluționarea pricinii într-un termen rezonabil impune reanalizarea necesarului de resurse umane.</w:t>
      </w:r>
    </w:p>
    <w:p w:rsidR="00C921A1" w:rsidRPr="00FA60A7" w:rsidRDefault="00214F19" w:rsidP="00A7137C">
      <w:pPr>
        <w:ind w:firstLine="708"/>
        <w:jc w:val="both"/>
      </w:pPr>
      <w:r w:rsidRPr="00FA60A7">
        <w:t xml:space="preserve">Pe de altă parte </w:t>
      </w:r>
      <w:r w:rsidR="009872C0">
        <w:t xml:space="preserve">se </w:t>
      </w:r>
      <w:r w:rsidRPr="00FA60A7">
        <w:t>observă că, deși numărul de dosare se află într-o scădere</w:t>
      </w:r>
      <w:r w:rsidR="009872C0">
        <w:t>,</w:t>
      </w:r>
      <w:r w:rsidRPr="00FA60A7">
        <w:t xml:space="preserve"> coeficientul privind complexitatea este în creștere. Altfel spus, nu ne regăsim în situația în care volumul de activitate a scăzut</w:t>
      </w:r>
      <w:r w:rsidR="009872C0">
        <w:t>,</w:t>
      </w:r>
      <w:r w:rsidRPr="00FA60A7">
        <w:t xml:space="preserve"> ci dimpotrivă, în situația în care acesta este în continuare, în creștere. Eforturile depuse de un magistrat sunt reflectate în primul rând de complexitatea cauzelor cu care este investit și nu de numărul de dosare</w:t>
      </w:r>
      <w:r w:rsidR="009872C0">
        <w:t>,</w:t>
      </w:r>
      <w:r w:rsidRPr="00FA60A7">
        <w:t xml:space="preserve"> fiind </w:t>
      </w:r>
      <w:r w:rsidR="003A243A" w:rsidRPr="00FA60A7">
        <w:t xml:space="preserve">evident că </w:t>
      </w:r>
      <w:r w:rsidRPr="00FA60A7">
        <w:t xml:space="preserve">timpul de lucru alocat soluționării unui număr de 10 cauze cu complexitate redusă </w:t>
      </w:r>
      <w:r w:rsidR="00472973" w:rsidRPr="00FA60A7">
        <w:t xml:space="preserve">poate fi mai scurt </w:t>
      </w:r>
      <w:r w:rsidRPr="00FA60A7">
        <w:t xml:space="preserve">decât timpul alocat soluționării unei cauze </w:t>
      </w:r>
      <w:r w:rsidR="00C955EE" w:rsidRPr="00FA60A7">
        <w:t xml:space="preserve">mai </w:t>
      </w:r>
      <w:r w:rsidRPr="00FA60A7">
        <w:t>complexe</w:t>
      </w:r>
      <w:r w:rsidR="0018500B" w:rsidRPr="00FA60A7">
        <w:t>.</w:t>
      </w:r>
    </w:p>
    <w:p w:rsidR="0018500B" w:rsidRPr="00FA60A7" w:rsidRDefault="001B6496" w:rsidP="00A7137C">
      <w:pPr>
        <w:ind w:firstLine="708"/>
        <w:jc w:val="both"/>
      </w:pPr>
      <w:r w:rsidRPr="00FA60A7">
        <w:t>Redimensionarea schemei de magistrați ar conduce și la reînființarea completelor specializate în materie penal și non-penal</w:t>
      </w:r>
      <w:r w:rsidR="009872C0">
        <w:t>,</w:t>
      </w:r>
      <w:r w:rsidR="0037584A" w:rsidRPr="00FA60A7">
        <w:t xml:space="preserve"> care ar permite perfecționarea magistratului și implicit la creșterea, din punct de vedere calitativ, a actului de justiție.</w:t>
      </w:r>
    </w:p>
    <w:p w:rsidR="00967713" w:rsidRPr="00FA60A7" w:rsidRDefault="0037584A" w:rsidP="00A7137C">
      <w:pPr>
        <w:ind w:firstLine="708"/>
        <w:jc w:val="both"/>
      </w:pPr>
      <w:r w:rsidRPr="00FA60A7">
        <w:t xml:space="preserve">Am subliniat anterior că numărul redus de magistrați a condus la desființarea în cursul anului 2020 a acestor complete specializate, astfel că, în prezent, fiecare judecător soluționează deopotrivă cauze penale, civile, </w:t>
      </w:r>
      <w:r w:rsidR="009872C0">
        <w:t xml:space="preserve">de minori şi familie şi </w:t>
      </w:r>
      <w:r w:rsidRPr="00FA60A7">
        <w:t xml:space="preserve">litigii cu profesioniștii. </w:t>
      </w:r>
    </w:p>
    <w:p w:rsidR="00C50394" w:rsidRPr="00FA60A7" w:rsidRDefault="0037584A" w:rsidP="00A7137C">
      <w:pPr>
        <w:ind w:firstLine="708"/>
        <w:jc w:val="both"/>
      </w:pPr>
      <w:r w:rsidRPr="00FA60A7">
        <w:t xml:space="preserve">O asemenea măsură </w:t>
      </w:r>
      <w:r w:rsidR="00B71CC6" w:rsidRPr="00FA60A7">
        <w:t xml:space="preserve">ne-a permis să eficientizăm activitatea pe termen scurt </w:t>
      </w:r>
      <w:r w:rsidR="00E73140" w:rsidRPr="00FA60A7">
        <w:t xml:space="preserve">(doar sub aspect cantitativ) </w:t>
      </w:r>
      <w:r w:rsidR="00C50394" w:rsidRPr="00FA60A7">
        <w:t xml:space="preserve">și să înlăturăm efectele generate de măsurile de suspendare a judecății pe durata stării de urgență. </w:t>
      </w:r>
    </w:p>
    <w:p w:rsidR="00B71CC6" w:rsidRPr="00FA60A7" w:rsidRDefault="00C50394" w:rsidP="00A7137C">
      <w:pPr>
        <w:ind w:firstLine="708"/>
        <w:jc w:val="both"/>
      </w:pPr>
      <w:r w:rsidRPr="00FA60A7">
        <w:t>Însă, obiectivul nostru este să asigurăm calitatea actului de justiție și nu cantitatea acestuia</w:t>
      </w:r>
      <w:r w:rsidR="00F37C0D" w:rsidRPr="00FA60A7">
        <w:t>. Or, între calitatea actului de justiție și specializarea magistratului există o strân</w:t>
      </w:r>
      <w:r w:rsidR="00080E11" w:rsidRPr="00FA60A7">
        <w:t>s</w:t>
      </w:r>
      <w:r w:rsidR="00F37C0D" w:rsidRPr="00FA60A7">
        <w:t>ă legătură de cau</w:t>
      </w:r>
      <w:r w:rsidR="00094201" w:rsidRPr="00FA60A7">
        <w:t>z</w:t>
      </w:r>
      <w:r w:rsidR="00F37C0D" w:rsidRPr="00FA60A7">
        <w:t>alitate.</w:t>
      </w:r>
    </w:p>
    <w:p w:rsidR="00C11638" w:rsidRPr="00FA60A7" w:rsidRDefault="00561BED" w:rsidP="00A7137C">
      <w:pPr>
        <w:ind w:firstLine="708"/>
        <w:jc w:val="both"/>
      </w:pPr>
      <w:r w:rsidRPr="00FA60A7">
        <w:t xml:space="preserve">Nici în ceea ce </w:t>
      </w:r>
      <w:r w:rsidR="00A7137C" w:rsidRPr="00FA60A7">
        <w:t xml:space="preserve">privește personalul auxiliar </w:t>
      </w:r>
      <w:r w:rsidR="009872C0">
        <w:t xml:space="preserve">de specialitate </w:t>
      </w:r>
      <w:r w:rsidR="00A7137C" w:rsidRPr="00FA60A7">
        <w:t xml:space="preserve">schema </w:t>
      </w:r>
      <w:r w:rsidRPr="00FA60A7">
        <w:t xml:space="preserve">nu </w:t>
      </w:r>
      <w:r w:rsidR="00A7137C" w:rsidRPr="00FA60A7">
        <w:t xml:space="preserve">este completă, </w:t>
      </w:r>
      <w:r w:rsidR="00C11638" w:rsidRPr="00FA60A7">
        <w:t>însă numărul redus de judecători și implicit necesarul de grefieri de ședință a permis conducerii să dispună măsuri de natură a acoperi aceste deficiențe.</w:t>
      </w:r>
    </w:p>
    <w:p w:rsidR="00A7137C" w:rsidRPr="00FA60A7" w:rsidRDefault="00C11638" w:rsidP="00A7137C">
      <w:pPr>
        <w:ind w:firstLine="708"/>
        <w:jc w:val="both"/>
      </w:pPr>
      <w:r w:rsidRPr="00FA60A7">
        <w:t>S-a urmărit</w:t>
      </w:r>
      <w:r w:rsidR="009872C0">
        <w:t>,</w:t>
      </w:r>
      <w:r w:rsidRPr="00FA60A7">
        <w:t xml:space="preserve"> și în acest an</w:t>
      </w:r>
      <w:r w:rsidR="009872C0">
        <w:t>,</w:t>
      </w:r>
      <w:r w:rsidRPr="00FA60A7">
        <w:t xml:space="preserve"> </w:t>
      </w:r>
      <w:r w:rsidR="00A7137C" w:rsidRPr="00FA60A7">
        <w:t xml:space="preserve">specializarea grefierilor într-un anumit domeniu în care să performeze, dar fără a pierde cunoștințele de bază necesare îndeplinirii atribuțiilor specifice altui compartiment astfel că, în caz de nevoie, să poată fi relocat. </w:t>
      </w:r>
    </w:p>
    <w:p w:rsidR="00A7137C" w:rsidRPr="00FA60A7" w:rsidRDefault="00A7137C" w:rsidP="00A7137C">
      <w:pPr>
        <w:ind w:firstLine="708"/>
        <w:jc w:val="both"/>
      </w:pPr>
      <w:r w:rsidRPr="00FA60A7">
        <w:t xml:space="preserve">Pentru a atinge acest obiectiv au fost </w:t>
      </w:r>
      <w:r w:rsidR="00041866">
        <w:t xml:space="preserve">menținute </w:t>
      </w:r>
      <w:r w:rsidRPr="00FA60A7">
        <w:t>compartimente</w:t>
      </w:r>
      <w:r w:rsidR="00041866">
        <w:t xml:space="preserve">le înființate </w:t>
      </w:r>
      <w:r w:rsidR="002B18A1">
        <w:t xml:space="preserve">în anii </w:t>
      </w:r>
      <w:r w:rsidR="00930578">
        <w:t xml:space="preserve">precedenţi </w:t>
      </w:r>
      <w:r w:rsidR="00041866">
        <w:t>și chiar create unele noi</w:t>
      </w:r>
      <w:r w:rsidRPr="00FA60A7">
        <w:t>.</w:t>
      </w:r>
    </w:p>
    <w:p w:rsidR="00C11638" w:rsidRPr="00FA60A7" w:rsidRDefault="00A7137C" w:rsidP="00A7137C">
      <w:pPr>
        <w:ind w:firstLine="708"/>
        <w:jc w:val="both"/>
      </w:pPr>
      <w:r w:rsidRPr="00FA60A7">
        <w:t>Cu titlu exemplificativ arătăm că au fost grupați în același compartiment</w:t>
      </w:r>
      <w:r w:rsidR="002844ED" w:rsidRPr="00FA60A7">
        <w:t>,</w:t>
      </w:r>
      <w:r w:rsidRPr="00FA60A7">
        <w:t xml:space="preserve"> </w:t>
      </w:r>
      <w:proofErr w:type="spellStart"/>
      <w:r w:rsidRPr="009872C0">
        <w:t>A</w:t>
      </w:r>
      <w:r w:rsidR="005C66BF" w:rsidRPr="009872C0">
        <w:t>rhivă</w:t>
      </w:r>
      <w:r w:rsidR="009872C0" w:rsidRPr="009872C0">
        <w:t>-Registratură</w:t>
      </w:r>
      <w:proofErr w:type="spellEnd"/>
      <w:r w:rsidR="009872C0" w:rsidRPr="009872C0">
        <w:t xml:space="preserve"> </w:t>
      </w:r>
      <w:r w:rsidR="009872C0">
        <w:t xml:space="preserve">grefierul-arhivar, grefierii delegaţi cu repartizarea aleatorie a </w:t>
      </w:r>
      <w:r w:rsidR="009872C0">
        <w:lastRenderedPageBreak/>
        <w:t>cauzelor, la Biroul de informare şi relaţii publice şi cu primirea şi înregistrarea corespondenţei instanţei, precum ş</w:t>
      </w:r>
      <w:r w:rsidRPr="00FA60A7">
        <w:t xml:space="preserve">i </w:t>
      </w:r>
      <w:r w:rsidR="00C11638" w:rsidRPr="00FA60A7">
        <w:t>agentul procedural</w:t>
      </w:r>
      <w:r w:rsidR="00194A53">
        <w:t xml:space="preserve">, </w:t>
      </w:r>
      <w:r w:rsidR="00C11638" w:rsidRPr="00FA60A7">
        <w:t xml:space="preserve">care </w:t>
      </w:r>
      <w:r w:rsidR="00194A53">
        <w:t xml:space="preserve">are atribuţii </w:t>
      </w:r>
      <w:r w:rsidR="00C11638" w:rsidRPr="00FA60A7">
        <w:t xml:space="preserve">inclusiv la </w:t>
      </w:r>
      <w:r w:rsidRPr="00FA60A7">
        <w:t xml:space="preserve">scanarea documentelor și introducerea lor în sistemul informatizat. </w:t>
      </w:r>
    </w:p>
    <w:p w:rsidR="002844ED" w:rsidRPr="00FA60A7" w:rsidRDefault="00A7137C" w:rsidP="00A7137C">
      <w:pPr>
        <w:ind w:firstLine="708"/>
        <w:jc w:val="both"/>
      </w:pPr>
      <w:r w:rsidRPr="00FA60A7">
        <w:t>Un al doilea compartiment vizează Birourile de executări penale și de executări civile</w:t>
      </w:r>
      <w:r w:rsidR="00194A53">
        <w:t xml:space="preserve">, </w:t>
      </w:r>
      <w:r w:rsidR="002844ED" w:rsidRPr="00FA60A7">
        <w:t>iar cel de</w:t>
      </w:r>
      <w:r w:rsidR="00194A53">
        <w:t>-</w:t>
      </w:r>
      <w:r w:rsidR="002844ED" w:rsidRPr="00FA60A7">
        <w:t xml:space="preserve">al </w:t>
      </w:r>
      <w:r w:rsidR="00194A53">
        <w:t xml:space="preserve">treilea fiind cel din care fac parte </w:t>
      </w:r>
      <w:r w:rsidR="002844ED" w:rsidRPr="00FA60A7">
        <w:t>grefierii însărcinați cu procedura prealabilă</w:t>
      </w:r>
      <w:r w:rsidR="00194A53">
        <w:t>, camera preliminară în cauzele penale</w:t>
      </w:r>
      <w:r w:rsidR="002844ED" w:rsidRPr="00FA60A7">
        <w:t xml:space="preserve"> și întocmirea proiectelor de hotărâri în cau</w:t>
      </w:r>
      <w:r w:rsidR="0077551B" w:rsidRPr="00FA60A7">
        <w:t>z</w:t>
      </w:r>
      <w:r w:rsidR="002844ED" w:rsidRPr="00FA60A7">
        <w:t>ele având ca obiect încuviințarea executării silite.</w:t>
      </w:r>
    </w:p>
    <w:p w:rsidR="00822ACE" w:rsidRPr="00FA60A7" w:rsidRDefault="007429FA" w:rsidP="00A7137C">
      <w:pPr>
        <w:ind w:firstLine="708"/>
        <w:jc w:val="both"/>
      </w:pPr>
      <w:r w:rsidRPr="00FA60A7">
        <w:t>R</w:t>
      </w:r>
      <w:r w:rsidR="00A7137C" w:rsidRPr="00FA60A7">
        <w:t>elațiile cu celelalte autorități</w:t>
      </w:r>
      <w:r w:rsidR="00A76ECE" w:rsidRPr="00FA60A7">
        <w:t xml:space="preserve"> și instituții publice</w:t>
      </w:r>
      <w:r w:rsidRPr="00FA60A7">
        <w:t xml:space="preserve"> au fost în cursul anului 2020 unele foarte bune</w:t>
      </w:r>
      <w:r w:rsidR="009C0178" w:rsidRPr="00FA60A7">
        <w:t xml:space="preserve">, existând o colaborare reciprocă </w:t>
      </w:r>
      <w:r w:rsidR="00822ACE" w:rsidRPr="00FA60A7">
        <w:t>desigur</w:t>
      </w:r>
      <w:r w:rsidR="00797BB8">
        <w:t>,</w:t>
      </w:r>
      <w:r w:rsidR="00822ACE" w:rsidRPr="00FA60A7">
        <w:t xml:space="preserve"> în limitele legii.</w:t>
      </w:r>
    </w:p>
    <w:p w:rsidR="00E647E1" w:rsidRPr="00FA60A7" w:rsidRDefault="00266C69" w:rsidP="00A7137C">
      <w:pPr>
        <w:ind w:firstLine="708"/>
        <w:jc w:val="both"/>
      </w:pPr>
      <w:r w:rsidRPr="00FA60A7">
        <w:t xml:space="preserve">Condițiile austere </w:t>
      </w:r>
      <w:r w:rsidR="002947A1" w:rsidRPr="00FA60A7">
        <w:t xml:space="preserve">generate de situația epidemiologică au condus, așa cum era normal, la o solidarizare și întrajutorare interinstituțională. </w:t>
      </w:r>
    </w:p>
    <w:p w:rsidR="009C0178" w:rsidRPr="00FA60A7" w:rsidRDefault="002947A1" w:rsidP="00A7137C">
      <w:pPr>
        <w:ind w:firstLine="708"/>
        <w:jc w:val="both"/>
      </w:pPr>
      <w:r w:rsidRPr="00FA60A7">
        <w:t>Considerăm că este suficient a aminti sprijinul primit din partea Spitalului Municipal Curtea de Argeș în dezinfectarea</w:t>
      </w:r>
      <w:r w:rsidR="00E647E1" w:rsidRPr="00FA60A7">
        <w:t>,</w:t>
      </w:r>
      <w:r w:rsidRPr="00FA60A7">
        <w:t xml:space="preserve"> cu soluții profesionale</w:t>
      </w:r>
      <w:r w:rsidR="00E647E1" w:rsidRPr="00FA60A7">
        <w:t>,</w:t>
      </w:r>
      <w:r w:rsidRPr="00FA60A7">
        <w:t xml:space="preserve"> a sediului instanței în momentul în care </w:t>
      </w:r>
      <w:r w:rsidR="00FA60A7" w:rsidRPr="00FA60A7">
        <w:t xml:space="preserve">două </w:t>
      </w:r>
      <w:r w:rsidRPr="00FA60A7">
        <w:t>grefier</w:t>
      </w:r>
      <w:r w:rsidR="00194A53">
        <w:t>e</w:t>
      </w:r>
      <w:r w:rsidRPr="00FA60A7">
        <w:t xml:space="preserve"> </w:t>
      </w:r>
      <w:r w:rsidR="00E647E1" w:rsidRPr="00FA60A7">
        <w:t>au fost depistate pozitiv la testul Covid19</w:t>
      </w:r>
      <w:r w:rsidR="009E2FAD" w:rsidRPr="00FA60A7">
        <w:t xml:space="preserve"> sau sprijinul acordat de </w:t>
      </w:r>
      <w:r w:rsidR="00FA60A7" w:rsidRPr="00FA60A7">
        <w:t>Batalionului 33 Vânători de Munte “Posada” în susținerea misiunilor de pază a instanței și triere a persoanelor care solicită accesul în sediul judecătoriei.</w:t>
      </w:r>
    </w:p>
    <w:p w:rsidR="00A7137C" w:rsidRPr="000430B2" w:rsidRDefault="00A7137C" w:rsidP="00A7137C">
      <w:pPr>
        <w:ind w:firstLine="708"/>
        <w:jc w:val="both"/>
      </w:pPr>
      <w:r w:rsidRPr="000430B2">
        <w:t xml:space="preserve">Ţinând seama de realităţile concrete de la instanţă din anul </w:t>
      </w:r>
      <w:r w:rsidR="00CF0F85" w:rsidRPr="000430B2">
        <w:t>2020</w:t>
      </w:r>
      <w:r w:rsidRPr="000430B2">
        <w:t xml:space="preserve">, apreciem activitatea desfăşurată ca fiind una foarte bună, cu amprenta calităţii şi operativităţii. </w:t>
      </w:r>
    </w:p>
    <w:p w:rsidR="00A7137C" w:rsidRPr="000430B2" w:rsidRDefault="00A7137C" w:rsidP="00A7137C">
      <w:pPr>
        <w:jc w:val="both"/>
      </w:pPr>
      <w:r w:rsidRPr="000430B2">
        <w:tab/>
        <w:t xml:space="preserve">La nivel general, gradul de eficienţă al instanţei s-a menținut </w:t>
      </w:r>
      <w:r w:rsidR="00194A53">
        <w:t xml:space="preserve">a fi </w:t>
      </w:r>
      <w:r w:rsidRPr="000430B2">
        <w:t>„E</w:t>
      </w:r>
      <w:r w:rsidR="00194A53">
        <w:t>FICIENT</w:t>
      </w:r>
      <w:r w:rsidRPr="000430B2">
        <w:t xml:space="preserve">”, însă acest aspect s-a datorat lipsei resurselor umane și mai ales creșterii </w:t>
      </w:r>
      <w:r w:rsidR="00EF2519" w:rsidRPr="000430B2">
        <w:t>complexităţii</w:t>
      </w:r>
      <w:r w:rsidR="00194A53">
        <w:t xml:space="preserve"> </w:t>
      </w:r>
      <w:r w:rsidRPr="000430B2">
        <w:t>volumului de muncă.</w:t>
      </w:r>
    </w:p>
    <w:p w:rsidR="00A7137C" w:rsidRPr="000430B2" w:rsidRDefault="00A7137C" w:rsidP="00A7137C">
      <w:pPr>
        <w:ind w:firstLine="708"/>
        <w:jc w:val="both"/>
      </w:pPr>
      <w:r w:rsidRPr="000430B2">
        <w:t>În condiţiile expuse anterior, încadrarea acestei instanţe în gradul de eficienţă „E</w:t>
      </w:r>
      <w:r w:rsidR="00194A53">
        <w:t>FICIENT</w:t>
      </w:r>
      <w:r w:rsidRPr="000430B2">
        <w:t xml:space="preserve">” </w:t>
      </w:r>
      <w:r w:rsidR="00194A53">
        <w:t xml:space="preserve">o </w:t>
      </w:r>
      <w:r w:rsidRPr="000430B2">
        <w:t xml:space="preserve">apreciem </w:t>
      </w:r>
      <w:r w:rsidR="00194A53">
        <w:t xml:space="preserve">a fi un </w:t>
      </w:r>
      <w:r w:rsidRPr="000430B2">
        <w:t>rezultat pozitiv</w:t>
      </w:r>
      <w:r w:rsidR="00194A53">
        <w:t>,</w:t>
      </w:r>
      <w:r w:rsidRPr="000430B2">
        <w:t xml:space="preserve"> obținut ca urmare a unui efort colectiv, întregul personal mobilizându-se exemplar pentru îndeplinirea corespunzătoare a actului de justiție</w:t>
      </w:r>
      <w:r w:rsidR="00194A53">
        <w:t>.</w:t>
      </w:r>
      <w:r w:rsidRPr="000430B2">
        <w:t xml:space="preserve"> </w:t>
      </w:r>
    </w:p>
    <w:p w:rsidR="00A7137C" w:rsidRPr="002F5F22" w:rsidRDefault="00A7137C" w:rsidP="00A7137C">
      <w:pPr>
        <w:jc w:val="both"/>
        <w:rPr>
          <w:color w:val="FF0000"/>
        </w:rPr>
      </w:pPr>
      <w:r w:rsidRPr="002F5F22">
        <w:rPr>
          <w:color w:val="FF0000"/>
        </w:rPr>
        <w:tab/>
      </w:r>
    </w:p>
    <w:p w:rsidR="00A7137C" w:rsidRPr="002F5F22" w:rsidRDefault="00A7137C" w:rsidP="00A7137C">
      <w:pPr>
        <w:jc w:val="center"/>
        <w:rPr>
          <w:color w:val="FF0000"/>
        </w:rPr>
      </w:pPr>
    </w:p>
    <w:p w:rsidR="00A7137C" w:rsidRPr="000430B2" w:rsidRDefault="00A7137C" w:rsidP="00A7137C">
      <w:pPr>
        <w:jc w:val="center"/>
      </w:pPr>
      <w:r w:rsidRPr="000430B2">
        <w:t>PREŞEDINTE,</w:t>
      </w:r>
    </w:p>
    <w:p w:rsidR="00A7137C" w:rsidRPr="000430B2" w:rsidRDefault="00A7137C" w:rsidP="00A7137C">
      <w:pPr>
        <w:jc w:val="center"/>
        <w:rPr>
          <w:i/>
        </w:rPr>
      </w:pPr>
      <w:r w:rsidRPr="000430B2">
        <w:t>Judecător Stana Corneliu-Adrian</w:t>
      </w:r>
    </w:p>
    <w:p w:rsidR="00A7137C" w:rsidRPr="000430B2" w:rsidRDefault="00A7137C" w:rsidP="00A7137C"/>
    <w:p w:rsidR="00A7137C" w:rsidRDefault="00A7137C"/>
    <w:sectPr w:rsidR="00A7137C" w:rsidSect="00194A53">
      <w:headerReference w:type="even" r:id="rId11"/>
      <w:footerReference w:type="even" r:id="rId12"/>
      <w:footerReference w:type="default" r:id="rId13"/>
      <w:pgSz w:w="11906" w:h="16838"/>
      <w:pgMar w:top="1134" w:right="1134"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A32" w:rsidRDefault="00A65A32">
      <w:r>
        <w:separator/>
      </w:r>
    </w:p>
  </w:endnote>
  <w:endnote w:type="continuationSeparator" w:id="0">
    <w:p w:rsidR="00A65A32" w:rsidRDefault="00A65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00000000" w:usb1="80000000" w:usb2="00000008"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53" w:rsidRDefault="00194A53" w:rsidP="00C873F8">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194A53" w:rsidRDefault="00194A53" w:rsidP="00C873F8">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53" w:rsidRDefault="00194A53" w:rsidP="00C873F8">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1F0991">
      <w:rPr>
        <w:rStyle w:val="Numrdepagin"/>
        <w:noProof/>
      </w:rPr>
      <w:t>3</w:t>
    </w:r>
    <w:r>
      <w:rPr>
        <w:rStyle w:val="Numrdepagin"/>
      </w:rPr>
      <w:fldChar w:fldCharType="end"/>
    </w:r>
  </w:p>
  <w:p w:rsidR="00194A53" w:rsidRDefault="00194A53" w:rsidP="00C873F8">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A32" w:rsidRDefault="00A65A32">
      <w:r>
        <w:separator/>
      </w:r>
    </w:p>
  </w:footnote>
  <w:footnote w:type="continuationSeparator" w:id="0">
    <w:p w:rsidR="00A65A32" w:rsidRDefault="00A65A32">
      <w:r>
        <w:continuationSeparator/>
      </w:r>
    </w:p>
  </w:footnote>
  <w:footnote w:id="1">
    <w:p w:rsidR="00194A53" w:rsidRPr="003C12A5" w:rsidRDefault="00194A53" w:rsidP="003C12A5">
      <w:pPr>
        <w:pStyle w:val="Textnotdesubsol"/>
        <w:jc w:val="both"/>
        <w:rPr>
          <w:rFonts w:ascii="Times New (W1)" w:hAnsi="Times New (W1)"/>
        </w:rPr>
      </w:pPr>
      <w:r>
        <w:rPr>
          <w:rStyle w:val="Referinnotdesubsol"/>
        </w:rPr>
        <w:footnoteRef/>
      </w:r>
      <w:r>
        <w:t xml:space="preserve"> Cu titlu exemplificativ amintim </w:t>
      </w:r>
      <w:r w:rsidRPr="00B64171">
        <w:rPr>
          <w:rFonts w:ascii="Times New (W1)" w:hAnsi="Times New (W1)"/>
        </w:rPr>
        <w:t>munca de la domiciliu, unde logistica a permis</w:t>
      </w:r>
      <w:r>
        <w:rPr>
          <w:rFonts w:ascii="Times New (W1)" w:hAnsi="Times New (W1)"/>
        </w:rPr>
        <w:t>, sau deschiderea corespondenţei doar după un interval de păstrare de minim 24 de 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53" w:rsidRDefault="00194A53" w:rsidP="00C873F8">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194A53" w:rsidRDefault="00194A53">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AFC"/>
    <w:multiLevelType w:val="hybridMultilevel"/>
    <w:tmpl w:val="BE02E542"/>
    <w:lvl w:ilvl="0" w:tplc="0DF001C8">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2C28B2"/>
    <w:multiLevelType w:val="hybridMultilevel"/>
    <w:tmpl w:val="30E40F82"/>
    <w:lvl w:ilvl="0" w:tplc="A0823F56">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4C774FE"/>
    <w:multiLevelType w:val="hybridMultilevel"/>
    <w:tmpl w:val="A7FE3484"/>
    <w:lvl w:ilvl="0" w:tplc="FBBAAF2C">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nsid w:val="051F1AA7"/>
    <w:multiLevelType w:val="hybridMultilevel"/>
    <w:tmpl w:val="5E86CB50"/>
    <w:lvl w:ilvl="0" w:tplc="FBC698B2">
      <w:numFmt w:val="bullet"/>
      <w:lvlText w:val="-"/>
      <w:lvlJc w:val="left"/>
      <w:pPr>
        <w:ind w:left="2484" w:hanging="360"/>
      </w:pPr>
      <w:rPr>
        <w:rFonts w:ascii="Times New Roman" w:eastAsia="Times New Roman" w:hAnsi="Times New Roman" w:cs="Times New Roman"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4">
    <w:nsid w:val="06FE749B"/>
    <w:multiLevelType w:val="hybridMultilevel"/>
    <w:tmpl w:val="08842CDE"/>
    <w:lvl w:ilvl="0" w:tplc="71AEBAFC">
      <w:start w:val="3"/>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0900754E"/>
    <w:multiLevelType w:val="hybridMultilevel"/>
    <w:tmpl w:val="83688C7E"/>
    <w:lvl w:ilvl="0" w:tplc="EB3292FE">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09263694"/>
    <w:multiLevelType w:val="hybridMultilevel"/>
    <w:tmpl w:val="F22C212E"/>
    <w:lvl w:ilvl="0" w:tplc="46AEDD9A">
      <w:start w:val="1"/>
      <w:numFmt w:val="upperRoman"/>
      <w:lvlText w:val="%1."/>
      <w:lvlJc w:val="left"/>
      <w:pPr>
        <w:ind w:left="780" w:hanging="72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7">
    <w:nsid w:val="104E361A"/>
    <w:multiLevelType w:val="hybridMultilevel"/>
    <w:tmpl w:val="010EBFB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3EF776E"/>
    <w:multiLevelType w:val="hybridMultilevel"/>
    <w:tmpl w:val="B9AEE7D2"/>
    <w:lvl w:ilvl="0" w:tplc="6C1E334E">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20E93BE0"/>
    <w:multiLevelType w:val="hybridMultilevel"/>
    <w:tmpl w:val="19E60710"/>
    <w:lvl w:ilvl="0" w:tplc="F4F06354">
      <w:start w:val="2"/>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212379E2"/>
    <w:multiLevelType w:val="hybridMultilevel"/>
    <w:tmpl w:val="F8C09C0C"/>
    <w:lvl w:ilvl="0" w:tplc="66B00480">
      <w:start w:val="2"/>
      <w:numFmt w:val="upperRoman"/>
      <w:lvlText w:val="%1."/>
      <w:lvlJc w:val="left"/>
      <w:pPr>
        <w:tabs>
          <w:tab w:val="num" w:pos="780"/>
        </w:tabs>
        <w:ind w:left="780" w:hanging="720"/>
      </w:pPr>
      <w:rPr>
        <w:rFonts w:hint="default"/>
      </w:rPr>
    </w:lvl>
    <w:lvl w:ilvl="1" w:tplc="04180019" w:tentative="1">
      <w:start w:val="1"/>
      <w:numFmt w:val="lowerLetter"/>
      <w:lvlText w:val="%2."/>
      <w:lvlJc w:val="left"/>
      <w:pPr>
        <w:tabs>
          <w:tab w:val="num" w:pos="1140"/>
        </w:tabs>
        <w:ind w:left="1140" w:hanging="360"/>
      </w:p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11">
    <w:nsid w:val="22DB7262"/>
    <w:multiLevelType w:val="hybridMultilevel"/>
    <w:tmpl w:val="071AC8CC"/>
    <w:lvl w:ilvl="0" w:tplc="D2A4537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nsid w:val="22E014DD"/>
    <w:multiLevelType w:val="hybridMultilevel"/>
    <w:tmpl w:val="01429998"/>
    <w:lvl w:ilvl="0" w:tplc="04180019">
      <w:start w:val="3"/>
      <w:numFmt w:val="lowerLetter"/>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3">
    <w:nsid w:val="24186843"/>
    <w:multiLevelType w:val="hybridMultilevel"/>
    <w:tmpl w:val="77F8F69E"/>
    <w:lvl w:ilvl="0" w:tplc="7D9EB25E">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92E78C8"/>
    <w:multiLevelType w:val="hybridMultilevel"/>
    <w:tmpl w:val="588C5776"/>
    <w:lvl w:ilvl="0" w:tplc="29B452C2">
      <w:start w:val="3"/>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2C771580"/>
    <w:multiLevelType w:val="hybridMultilevel"/>
    <w:tmpl w:val="279A8C6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D780583"/>
    <w:multiLevelType w:val="multilevel"/>
    <w:tmpl w:val="409E723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2F131F5F"/>
    <w:multiLevelType w:val="hybridMultilevel"/>
    <w:tmpl w:val="AC9C8654"/>
    <w:lvl w:ilvl="0" w:tplc="39420FE8">
      <w:start w:val="2"/>
      <w:numFmt w:val="bullet"/>
      <w:lvlText w:val="-"/>
      <w:lvlJc w:val="left"/>
      <w:pPr>
        <w:tabs>
          <w:tab w:val="num" w:pos="1350"/>
        </w:tabs>
        <w:ind w:left="1350" w:hanging="99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nsid w:val="31AC3DF1"/>
    <w:multiLevelType w:val="hybridMultilevel"/>
    <w:tmpl w:val="3036FCDA"/>
    <w:lvl w:ilvl="0" w:tplc="6130F0B0">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9">
    <w:nsid w:val="35984552"/>
    <w:multiLevelType w:val="hybridMultilevel"/>
    <w:tmpl w:val="6B4474AA"/>
    <w:lvl w:ilvl="0" w:tplc="CBE48C28">
      <w:start w:val="1"/>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0">
    <w:nsid w:val="39F5350B"/>
    <w:multiLevelType w:val="hybridMultilevel"/>
    <w:tmpl w:val="2866261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3A0B66D7"/>
    <w:multiLevelType w:val="hybridMultilevel"/>
    <w:tmpl w:val="4544D1D6"/>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3F0F69E6"/>
    <w:multiLevelType w:val="hybridMultilevel"/>
    <w:tmpl w:val="417A417A"/>
    <w:lvl w:ilvl="0" w:tplc="870A185E">
      <w:start w:val="2"/>
      <w:numFmt w:val="lowerRoman"/>
      <w:lvlText w:val="%1."/>
      <w:lvlJc w:val="left"/>
      <w:pPr>
        <w:tabs>
          <w:tab w:val="num" w:pos="780"/>
        </w:tabs>
        <w:ind w:left="780" w:hanging="720"/>
      </w:pPr>
      <w:rPr>
        <w:rFonts w:hint="default"/>
      </w:rPr>
    </w:lvl>
    <w:lvl w:ilvl="1" w:tplc="04180019" w:tentative="1">
      <w:start w:val="1"/>
      <w:numFmt w:val="lowerLetter"/>
      <w:lvlText w:val="%2."/>
      <w:lvlJc w:val="left"/>
      <w:pPr>
        <w:tabs>
          <w:tab w:val="num" w:pos="1140"/>
        </w:tabs>
        <w:ind w:left="1140" w:hanging="360"/>
      </w:p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23">
    <w:nsid w:val="40A40A73"/>
    <w:multiLevelType w:val="hybridMultilevel"/>
    <w:tmpl w:val="5BBCAF02"/>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42894C8A"/>
    <w:multiLevelType w:val="hybridMultilevel"/>
    <w:tmpl w:val="BBA42BB2"/>
    <w:lvl w:ilvl="0" w:tplc="24DC921C">
      <w:start w:val="3"/>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43944727"/>
    <w:multiLevelType w:val="hybridMultilevel"/>
    <w:tmpl w:val="070CB278"/>
    <w:lvl w:ilvl="0" w:tplc="D1C0285A">
      <w:start w:val="1"/>
      <w:numFmt w:val="lowerLetter"/>
      <w:lvlText w:val="%1)"/>
      <w:lvlJc w:val="left"/>
      <w:pPr>
        <w:tabs>
          <w:tab w:val="num" w:pos="1068"/>
        </w:tabs>
        <w:ind w:left="1068" w:hanging="360"/>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26">
    <w:nsid w:val="46380A95"/>
    <w:multiLevelType w:val="hybridMultilevel"/>
    <w:tmpl w:val="7340D306"/>
    <w:lvl w:ilvl="0" w:tplc="0DBC65D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7637441"/>
    <w:multiLevelType w:val="hybridMultilevel"/>
    <w:tmpl w:val="A7085B9C"/>
    <w:lvl w:ilvl="0" w:tplc="4F5A957E">
      <w:start w:val="2"/>
      <w:numFmt w:val="bullet"/>
      <w:lvlText w:val="-"/>
      <w:lvlJc w:val="left"/>
      <w:pPr>
        <w:ind w:left="720" w:hanging="360"/>
      </w:pPr>
      <w:rPr>
        <w:rFonts w:ascii="Times New (W1)" w:eastAsia="Times New Roman" w:hAnsi="Times New (W1)" w:cs="Times New (W1)"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A7817A8"/>
    <w:multiLevelType w:val="hybridMultilevel"/>
    <w:tmpl w:val="9036CF38"/>
    <w:lvl w:ilvl="0" w:tplc="0418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4C615871"/>
    <w:multiLevelType w:val="hybridMultilevel"/>
    <w:tmpl w:val="B7F01C52"/>
    <w:lvl w:ilvl="0" w:tplc="C22E09AE">
      <w:numFmt w:val="bullet"/>
      <w:lvlText w:val="-"/>
      <w:lvlJc w:val="left"/>
      <w:pPr>
        <w:tabs>
          <w:tab w:val="num" w:pos="1593"/>
        </w:tabs>
        <w:ind w:left="1593" w:hanging="885"/>
      </w:pPr>
      <w:rPr>
        <w:rFonts w:ascii="Times New Roman" w:eastAsia="Times New Roman" w:hAnsi="Times New Roman" w:cs="Times New Roman" w:hint="default"/>
        <w:b w:val="0"/>
      </w:rPr>
    </w:lvl>
    <w:lvl w:ilvl="1" w:tplc="04180003" w:tentative="1">
      <w:start w:val="1"/>
      <w:numFmt w:val="bullet"/>
      <w:lvlText w:val="o"/>
      <w:lvlJc w:val="left"/>
      <w:pPr>
        <w:tabs>
          <w:tab w:val="num" w:pos="1788"/>
        </w:tabs>
        <w:ind w:left="1788" w:hanging="360"/>
      </w:pPr>
      <w:rPr>
        <w:rFonts w:ascii="Courier New" w:hAnsi="Courier New" w:cs="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cs="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cs="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30">
    <w:nsid w:val="4D2C4C07"/>
    <w:multiLevelType w:val="singleLevel"/>
    <w:tmpl w:val="E95401B8"/>
    <w:lvl w:ilvl="0">
      <w:start w:val="2"/>
      <w:numFmt w:val="decimal"/>
      <w:lvlText w:val=""/>
      <w:lvlJc w:val="left"/>
      <w:pPr>
        <w:tabs>
          <w:tab w:val="num" w:pos="360"/>
        </w:tabs>
        <w:ind w:left="360" w:hanging="360"/>
      </w:pPr>
      <w:rPr>
        <w:rFonts w:hint="default"/>
        <w:b/>
      </w:rPr>
    </w:lvl>
  </w:abstractNum>
  <w:abstractNum w:abstractNumId="31">
    <w:nsid w:val="4D587A29"/>
    <w:multiLevelType w:val="hybridMultilevel"/>
    <w:tmpl w:val="86A01596"/>
    <w:lvl w:ilvl="0" w:tplc="0418000D">
      <w:start w:val="1"/>
      <w:numFmt w:val="bullet"/>
      <w:lvlText w:val=""/>
      <w:lvlJc w:val="left"/>
      <w:pPr>
        <w:ind w:left="1068" w:hanging="360"/>
      </w:pPr>
      <w:rPr>
        <w:rFonts w:ascii="Wingdings" w:hAnsi="Wingding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2">
    <w:nsid w:val="4F8D0828"/>
    <w:multiLevelType w:val="hybridMultilevel"/>
    <w:tmpl w:val="E7AAE5FC"/>
    <w:lvl w:ilvl="0" w:tplc="7C9026E8">
      <w:start w:val="3"/>
      <w:numFmt w:val="bullet"/>
      <w:lvlText w:val="-"/>
      <w:lvlJc w:val="left"/>
      <w:pPr>
        <w:ind w:left="1080" w:hanging="360"/>
      </w:pPr>
      <w:rPr>
        <w:rFonts w:ascii="Times New (W1)" w:eastAsia="Times New Roman" w:hAnsi="Times New (W1)" w:cs="Times New (W1)"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52635E67"/>
    <w:multiLevelType w:val="singleLevel"/>
    <w:tmpl w:val="CA468E7A"/>
    <w:lvl w:ilvl="0">
      <w:start w:val="1"/>
      <w:numFmt w:val="lowerLetter"/>
      <w:lvlText w:val="%1."/>
      <w:lvlJc w:val="left"/>
      <w:pPr>
        <w:tabs>
          <w:tab w:val="num" w:pos="870"/>
        </w:tabs>
        <w:ind w:left="870" w:hanging="360"/>
      </w:pPr>
      <w:rPr>
        <w:rFonts w:hint="default"/>
      </w:rPr>
    </w:lvl>
  </w:abstractNum>
  <w:abstractNum w:abstractNumId="34">
    <w:nsid w:val="52D172AA"/>
    <w:multiLevelType w:val="hybridMultilevel"/>
    <w:tmpl w:val="F12E25CE"/>
    <w:lvl w:ilvl="0" w:tplc="89DE83D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4336D22"/>
    <w:multiLevelType w:val="hybridMultilevel"/>
    <w:tmpl w:val="DA302326"/>
    <w:lvl w:ilvl="0" w:tplc="54023F9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6">
    <w:nsid w:val="57330214"/>
    <w:multiLevelType w:val="hybridMultilevel"/>
    <w:tmpl w:val="E8D49210"/>
    <w:lvl w:ilvl="0" w:tplc="0418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nsid w:val="599D1509"/>
    <w:multiLevelType w:val="hybridMultilevel"/>
    <w:tmpl w:val="62304722"/>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8">
    <w:nsid w:val="5D990D9F"/>
    <w:multiLevelType w:val="hybridMultilevel"/>
    <w:tmpl w:val="85B4CD62"/>
    <w:lvl w:ilvl="0" w:tplc="35600FF4">
      <w:numFmt w:val="bullet"/>
      <w:lvlText w:val="-"/>
      <w:lvlJc w:val="left"/>
      <w:pPr>
        <w:ind w:left="2490" w:hanging="360"/>
      </w:pPr>
      <w:rPr>
        <w:rFonts w:ascii="Times New Roman" w:eastAsia="Times New Roman" w:hAnsi="Times New Roman" w:cs="Times New Roman" w:hint="default"/>
      </w:rPr>
    </w:lvl>
    <w:lvl w:ilvl="1" w:tplc="04180003" w:tentative="1">
      <w:start w:val="1"/>
      <w:numFmt w:val="bullet"/>
      <w:lvlText w:val="o"/>
      <w:lvlJc w:val="left"/>
      <w:pPr>
        <w:ind w:left="3210" w:hanging="360"/>
      </w:pPr>
      <w:rPr>
        <w:rFonts w:ascii="Courier New" w:hAnsi="Courier New" w:cs="Courier New" w:hint="default"/>
      </w:rPr>
    </w:lvl>
    <w:lvl w:ilvl="2" w:tplc="04180005" w:tentative="1">
      <w:start w:val="1"/>
      <w:numFmt w:val="bullet"/>
      <w:lvlText w:val=""/>
      <w:lvlJc w:val="left"/>
      <w:pPr>
        <w:ind w:left="3930" w:hanging="360"/>
      </w:pPr>
      <w:rPr>
        <w:rFonts w:ascii="Wingdings" w:hAnsi="Wingdings" w:hint="default"/>
      </w:rPr>
    </w:lvl>
    <w:lvl w:ilvl="3" w:tplc="04180001" w:tentative="1">
      <w:start w:val="1"/>
      <w:numFmt w:val="bullet"/>
      <w:lvlText w:val=""/>
      <w:lvlJc w:val="left"/>
      <w:pPr>
        <w:ind w:left="4650" w:hanging="360"/>
      </w:pPr>
      <w:rPr>
        <w:rFonts w:ascii="Symbol" w:hAnsi="Symbol" w:hint="default"/>
      </w:rPr>
    </w:lvl>
    <w:lvl w:ilvl="4" w:tplc="04180003" w:tentative="1">
      <w:start w:val="1"/>
      <w:numFmt w:val="bullet"/>
      <w:lvlText w:val="o"/>
      <w:lvlJc w:val="left"/>
      <w:pPr>
        <w:ind w:left="5370" w:hanging="360"/>
      </w:pPr>
      <w:rPr>
        <w:rFonts w:ascii="Courier New" w:hAnsi="Courier New" w:cs="Courier New" w:hint="default"/>
      </w:rPr>
    </w:lvl>
    <w:lvl w:ilvl="5" w:tplc="04180005" w:tentative="1">
      <w:start w:val="1"/>
      <w:numFmt w:val="bullet"/>
      <w:lvlText w:val=""/>
      <w:lvlJc w:val="left"/>
      <w:pPr>
        <w:ind w:left="6090" w:hanging="360"/>
      </w:pPr>
      <w:rPr>
        <w:rFonts w:ascii="Wingdings" w:hAnsi="Wingdings" w:hint="default"/>
      </w:rPr>
    </w:lvl>
    <w:lvl w:ilvl="6" w:tplc="04180001" w:tentative="1">
      <w:start w:val="1"/>
      <w:numFmt w:val="bullet"/>
      <w:lvlText w:val=""/>
      <w:lvlJc w:val="left"/>
      <w:pPr>
        <w:ind w:left="6810" w:hanging="360"/>
      </w:pPr>
      <w:rPr>
        <w:rFonts w:ascii="Symbol" w:hAnsi="Symbol" w:hint="default"/>
      </w:rPr>
    </w:lvl>
    <w:lvl w:ilvl="7" w:tplc="04180003" w:tentative="1">
      <w:start w:val="1"/>
      <w:numFmt w:val="bullet"/>
      <w:lvlText w:val="o"/>
      <w:lvlJc w:val="left"/>
      <w:pPr>
        <w:ind w:left="7530" w:hanging="360"/>
      </w:pPr>
      <w:rPr>
        <w:rFonts w:ascii="Courier New" w:hAnsi="Courier New" w:cs="Courier New" w:hint="default"/>
      </w:rPr>
    </w:lvl>
    <w:lvl w:ilvl="8" w:tplc="04180005" w:tentative="1">
      <w:start w:val="1"/>
      <w:numFmt w:val="bullet"/>
      <w:lvlText w:val=""/>
      <w:lvlJc w:val="left"/>
      <w:pPr>
        <w:ind w:left="8250" w:hanging="360"/>
      </w:pPr>
      <w:rPr>
        <w:rFonts w:ascii="Wingdings" w:hAnsi="Wingdings" w:hint="default"/>
      </w:rPr>
    </w:lvl>
  </w:abstractNum>
  <w:abstractNum w:abstractNumId="39">
    <w:nsid w:val="5FF73F26"/>
    <w:multiLevelType w:val="multilevel"/>
    <w:tmpl w:val="958A47E8"/>
    <w:lvl w:ilvl="0">
      <w:start w:val="1"/>
      <w:numFmt w:val="decimal"/>
      <w:lvlText w:val="%1."/>
      <w:lvlJc w:val="left"/>
      <w:pPr>
        <w:tabs>
          <w:tab w:val="num" w:pos="525"/>
        </w:tabs>
        <w:ind w:left="525" w:hanging="525"/>
      </w:pPr>
      <w:rPr>
        <w:rFonts w:hint="default"/>
        <w:b w:val="0"/>
      </w:rPr>
    </w:lvl>
    <w:lvl w:ilvl="1">
      <w:start w:val="1"/>
      <w:numFmt w:val="decimal"/>
      <w:lvlText w:val="%1.%2."/>
      <w:lvlJc w:val="left"/>
      <w:pPr>
        <w:tabs>
          <w:tab w:val="num" w:pos="1425"/>
        </w:tabs>
        <w:ind w:left="1425" w:hanging="720"/>
      </w:pPr>
      <w:rPr>
        <w:rFonts w:hint="default"/>
        <w:b w:val="0"/>
      </w:rPr>
    </w:lvl>
    <w:lvl w:ilvl="2">
      <w:start w:val="1"/>
      <w:numFmt w:val="decimal"/>
      <w:lvlText w:val="%1.%2.%3."/>
      <w:lvlJc w:val="left"/>
      <w:pPr>
        <w:tabs>
          <w:tab w:val="num" w:pos="2130"/>
        </w:tabs>
        <w:ind w:left="2130" w:hanging="720"/>
      </w:pPr>
      <w:rPr>
        <w:rFonts w:hint="default"/>
        <w:b w:val="0"/>
      </w:rPr>
    </w:lvl>
    <w:lvl w:ilvl="3">
      <w:start w:val="1"/>
      <w:numFmt w:val="decimal"/>
      <w:lvlText w:val="%1.%2.%3.%4."/>
      <w:lvlJc w:val="left"/>
      <w:pPr>
        <w:tabs>
          <w:tab w:val="num" w:pos="3195"/>
        </w:tabs>
        <w:ind w:left="3195" w:hanging="1080"/>
      </w:pPr>
      <w:rPr>
        <w:rFonts w:hint="default"/>
        <w:b w:val="0"/>
      </w:rPr>
    </w:lvl>
    <w:lvl w:ilvl="4">
      <w:start w:val="1"/>
      <w:numFmt w:val="decimal"/>
      <w:lvlText w:val="%1.%2.%3.%4.%5."/>
      <w:lvlJc w:val="left"/>
      <w:pPr>
        <w:tabs>
          <w:tab w:val="num" w:pos="3900"/>
        </w:tabs>
        <w:ind w:left="3900" w:hanging="1080"/>
      </w:pPr>
      <w:rPr>
        <w:rFonts w:hint="default"/>
        <w:b w:val="0"/>
      </w:rPr>
    </w:lvl>
    <w:lvl w:ilvl="5">
      <w:start w:val="1"/>
      <w:numFmt w:val="decimal"/>
      <w:lvlText w:val="%1.%2.%3.%4.%5.%6."/>
      <w:lvlJc w:val="left"/>
      <w:pPr>
        <w:tabs>
          <w:tab w:val="num" w:pos="4965"/>
        </w:tabs>
        <w:ind w:left="4965" w:hanging="1440"/>
      </w:pPr>
      <w:rPr>
        <w:rFonts w:hint="default"/>
        <w:b w:val="0"/>
      </w:rPr>
    </w:lvl>
    <w:lvl w:ilvl="6">
      <w:start w:val="1"/>
      <w:numFmt w:val="decimal"/>
      <w:lvlText w:val="%1.%2.%3.%4.%5.%6.%7."/>
      <w:lvlJc w:val="left"/>
      <w:pPr>
        <w:tabs>
          <w:tab w:val="num" w:pos="6030"/>
        </w:tabs>
        <w:ind w:left="6030" w:hanging="1800"/>
      </w:pPr>
      <w:rPr>
        <w:rFonts w:hint="default"/>
        <w:b w:val="0"/>
      </w:rPr>
    </w:lvl>
    <w:lvl w:ilvl="7">
      <w:start w:val="1"/>
      <w:numFmt w:val="decimal"/>
      <w:lvlText w:val="%1.%2.%3.%4.%5.%6.%7.%8."/>
      <w:lvlJc w:val="left"/>
      <w:pPr>
        <w:tabs>
          <w:tab w:val="num" w:pos="6735"/>
        </w:tabs>
        <w:ind w:left="6735" w:hanging="1800"/>
      </w:pPr>
      <w:rPr>
        <w:rFonts w:hint="default"/>
        <w:b w:val="0"/>
      </w:rPr>
    </w:lvl>
    <w:lvl w:ilvl="8">
      <w:start w:val="1"/>
      <w:numFmt w:val="decimal"/>
      <w:lvlText w:val="%1.%2.%3.%4.%5.%6.%7.%8.%9."/>
      <w:lvlJc w:val="left"/>
      <w:pPr>
        <w:tabs>
          <w:tab w:val="num" w:pos="7800"/>
        </w:tabs>
        <w:ind w:left="7800" w:hanging="2160"/>
      </w:pPr>
      <w:rPr>
        <w:rFonts w:hint="default"/>
        <w:b w:val="0"/>
      </w:rPr>
    </w:lvl>
  </w:abstractNum>
  <w:abstractNum w:abstractNumId="40">
    <w:nsid w:val="639101F6"/>
    <w:multiLevelType w:val="hybridMultilevel"/>
    <w:tmpl w:val="288E39EE"/>
    <w:lvl w:ilvl="0" w:tplc="D88ABE68">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1">
    <w:nsid w:val="646071DF"/>
    <w:multiLevelType w:val="hybridMultilevel"/>
    <w:tmpl w:val="F2E62578"/>
    <w:lvl w:ilvl="0" w:tplc="C65C5688">
      <w:start w:val="1"/>
      <w:numFmt w:val="upperRoman"/>
      <w:lvlText w:val="%1."/>
      <w:lvlJc w:val="left"/>
      <w:pPr>
        <w:tabs>
          <w:tab w:val="num" w:pos="780"/>
        </w:tabs>
        <w:ind w:left="780" w:hanging="720"/>
      </w:pPr>
      <w:rPr>
        <w:rFonts w:hint="default"/>
      </w:rPr>
    </w:lvl>
    <w:lvl w:ilvl="1" w:tplc="04180019" w:tentative="1">
      <w:start w:val="1"/>
      <w:numFmt w:val="lowerLetter"/>
      <w:lvlText w:val="%2."/>
      <w:lvlJc w:val="left"/>
      <w:pPr>
        <w:tabs>
          <w:tab w:val="num" w:pos="1140"/>
        </w:tabs>
        <w:ind w:left="1140" w:hanging="360"/>
      </w:p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42">
    <w:nsid w:val="672F3DDC"/>
    <w:multiLevelType w:val="hybridMultilevel"/>
    <w:tmpl w:val="E98E94B6"/>
    <w:lvl w:ilvl="0" w:tplc="5B287160">
      <w:start w:val="1"/>
      <w:numFmt w:val="upperRoman"/>
      <w:lvlText w:val="%1."/>
      <w:lvlJc w:val="left"/>
      <w:pPr>
        <w:tabs>
          <w:tab w:val="num" w:pos="1080"/>
        </w:tabs>
        <w:ind w:left="1080" w:hanging="720"/>
      </w:pPr>
      <w:rPr>
        <w:rFonts w:hint="default"/>
      </w:rPr>
    </w:lvl>
    <w:lvl w:ilvl="1" w:tplc="FE3831BC">
      <w:start w:val="3"/>
      <w:numFmt w:val="decimal"/>
      <w:lvlText w:val="%2."/>
      <w:lvlJc w:val="left"/>
      <w:pPr>
        <w:tabs>
          <w:tab w:val="num" w:pos="1440"/>
        </w:tabs>
        <w:ind w:left="1440" w:hanging="360"/>
      </w:pPr>
      <w:rPr>
        <w:rFonts w:hint="default"/>
      </w:rPr>
    </w:lvl>
    <w:lvl w:ilvl="2" w:tplc="92C653EE">
      <w:start w:val="3"/>
      <w:numFmt w:val="bullet"/>
      <w:lvlText w:val="-"/>
      <w:lvlJc w:val="left"/>
      <w:pPr>
        <w:tabs>
          <w:tab w:val="num" w:pos="2340"/>
        </w:tabs>
        <w:ind w:left="2340" w:hanging="360"/>
      </w:pPr>
      <w:rPr>
        <w:rFonts w:ascii="Times New Roman" w:eastAsia="Times New Roman" w:hAnsi="Times New Roman" w:cs="Times New Roman"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3">
    <w:nsid w:val="68A83EF4"/>
    <w:multiLevelType w:val="hybridMultilevel"/>
    <w:tmpl w:val="CF2C79CC"/>
    <w:lvl w:ilvl="0" w:tplc="CC0A30C2">
      <w:start w:val="1"/>
      <w:numFmt w:val="lowerLetter"/>
      <w:lvlText w:val="%1)"/>
      <w:lvlJc w:val="left"/>
      <w:pPr>
        <w:ind w:left="1068" w:hanging="360"/>
      </w:pPr>
      <w:rPr>
        <w:rFonts w:hint="default"/>
      </w:r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4">
    <w:nsid w:val="69496FA1"/>
    <w:multiLevelType w:val="hybridMultilevel"/>
    <w:tmpl w:val="4984D26E"/>
    <w:lvl w:ilvl="0" w:tplc="FFF85D42">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5">
    <w:nsid w:val="70AA79CF"/>
    <w:multiLevelType w:val="hybridMultilevel"/>
    <w:tmpl w:val="A524DCE2"/>
    <w:lvl w:ilvl="0" w:tplc="200258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5C427BB"/>
    <w:multiLevelType w:val="hybridMultilevel"/>
    <w:tmpl w:val="3CAE2870"/>
    <w:lvl w:ilvl="0" w:tplc="8D70A00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6806120"/>
    <w:multiLevelType w:val="hybridMultilevel"/>
    <w:tmpl w:val="07B274E6"/>
    <w:lvl w:ilvl="0" w:tplc="26B8B262">
      <w:numFmt w:val="bullet"/>
      <w:lvlText w:val="-"/>
      <w:lvlJc w:val="left"/>
      <w:pPr>
        <w:ind w:left="2484" w:hanging="360"/>
      </w:pPr>
      <w:rPr>
        <w:rFonts w:ascii="Times New Roman" w:eastAsia="Times New Roman" w:hAnsi="Times New Roman" w:cs="Times New Roman"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48">
    <w:nsid w:val="795638A3"/>
    <w:multiLevelType w:val="hybridMultilevel"/>
    <w:tmpl w:val="8EAE44F2"/>
    <w:lvl w:ilvl="0" w:tplc="3C9A4E12">
      <w:start w:val="100"/>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nsid w:val="7AFF4EA3"/>
    <w:multiLevelType w:val="hybridMultilevel"/>
    <w:tmpl w:val="2B5A5F54"/>
    <w:lvl w:ilvl="0" w:tplc="0418000B">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abstractNumId w:val="23"/>
  </w:num>
  <w:num w:numId="2">
    <w:abstractNumId w:val="29"/>
  </w:num>
  <w:num w:numId="3">
    <w:abstractNumId w:val="20"/>
  </w:num>
  <w:num w:numId="4">
    <w:abstractNumId w:val="21"/>
  </w:num>
  <w:num w:numId="5">
    <w:abstractNumId w:val="39"/>
  </w:num>
  <w:num w:numId="6">
    <w:abstractNumId w:val="37"/>
  </w:num>
  <w:num w:numId="7">
    <w:abstractNumId w:val="30"/>
  </w:num>
  <w:num w:numId="8">
    <w:abstractNumId w:val="33"/>
  </w:num>
  <w:num w:numId="9">
    <w:abstractNumId w:val="8"/>
  </w:num>
  <w:num w:numId="10">
    <w:abstractNumId w:val="42"/>
  </w:num>
  <w:num w:numId="11">
    <w:abstractNumId w:val="4"/>
  </w:num>
  <w:num w:numId="12">
    <w:abstractNumId w:val="24"/>
  </w:num>
  <w:num w:numId="13">
    <w:abstractNumId w:val="41"/>
  </w:num>
  <w:num w:numId="14">
    <w:abstractNumId w:val="22"/>
  </w:num>
  <w:num w:numId="15">
    <w:abstractNumId w:val="10"/>
  </w:num>
  <w:num w:numId="16">
    <w:abstractNumId w:val="13"/>
  </w:num>
  <w:num w:numId="17">
    <w:abstractNumId w:val="1"/>
  </w:num>
  <w:num w:numId="18">
    <w:abstractNumId w:val="48"/>
  </w:num>
  <w:num w:numId="19">
    <w:abstractNumId w:val="12"/>
  </w:num>
  <w:num w:numId="20">
    <w:abstractNumId w:val="7"/>
  </w:num>
  <w:num w:numId="21">
    <w:abstractNumId w:val="26"/>
  </w:num>
  <w:num w:numId="22">
    <w:abstractNumId w:val="15"/>
  </w:num>
  <w:num w:numId="23">
    <w:abstractNumId w:val="38"/>
  </w:num>
  <w:num w:numId="24">
    <w:abstractNumId w:val="47"/>
  </w:num>
  <w:num w:numId="25">
    <w:abstractNumId w:val="46"/>
  </w:num>
  <w:num w:numId="26">
    <w:abstractNumId w:val="3"/>
  </w:num>
  <w:num w:numId="27">
    <w:abstractNumId w:val="14"/>
  </w:num>
  <w:num w:numId="28">
    <w:abstractNumId w:val="40"/>
  </w:num>
  <w:num w:numId="29">
    <w:abstractNumId w:val="35"/>
  </w:num>
  <w:num w:numId="30">
    <w:abstractNumId w:val="44"/>
  </w:num>
  <w:num w:numId="31">
    <w:abstractNumId w:val="16"/>
  </w:num>
  <w:num w:numId="32">
    <w:abstractNumId w:val="17"/>
  </w:num>
  <w:num w:numId="33">
    <w:abstractNumId w:val="5"/>
  </w:num>
  <w:num w:numId="34">
    <w:abstractNumId w:val="25"/>
  </w:num>
  <w:num w:numId="35">
    <w:abstractNumId w:val="19"/>
  </w:num>
  <w:num w:numId="36">
    <w:abstractNumId w:val="6"/>
  </w:num>
  <w:num w:numId="37">
    <w:abstractNumId w:val="45"/>
  </w:num>
  <w:num w:numId="38">
    <w:abstractNumId w:val="18"/>
  </w:num>
  <w:num w:numId="39">
    <w:abstractNumId w:val="2"/>
  </w:num>
  <w:num w:numId="40">
    <w:abstractNumId w:val="43"/>
  </w:num>
  <w:num w:numId="41">
    <w:abstractNumId w:val="27"/>
  </w:num>
  <w:num w:numId="42">
    <w:abstractNumId w:val="11"/>
  </w:num>
  <w:num w:numId="43">
    <w:abstractNumId w:val="9"/>
  </w:num>
  <w:num w:numId="44">
    <w:abstractNumId w:val="32"/>
  </w:num>
  <w:num w:numId="45">
    <w:abstractNumId w:val="0"/>
  </w:num>
  <w:num w:numId="46">
    <w:abstractNumId w:val="34"/>
  </w:num>
  <w:num w:numId="47">
    <w:abstractNumId w:val="49"/>
  </w:num>
  <w:num w:numId="48">
    <w:abstractNumId w:val="36"/>
  </w:num>
  <w:num w:numId="49">
    <w:abstractNumId w:val="28"/>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37C"/>
    <w:rsid w:val="0001520A"/>
    <w:rsid w:val="00020615"/>
    <w:rsid w:val="00034E0E"/>
    <w:rsid w:val="00041866"/>
    <w:rsid w:val="00042974"/>
    <w:rsid w:val="000430B2"/>
    <w:rsid w:val="00071430"/>
    <w:rsid w:val="00073EE3"/>
    <w:rsid w:val="000745D4"/>
    <w:rsid w:val="00080E11"/>
    <w:rsid w:val="000850FB"/>
    <w:rsid w:val="00086E34"/>
    <w:rsid w:val="000926D3"/>
    <w:rsid w:val="00094201"/>
    <w:rsid w:val="00097416"/>
    <w:rsid w:val="000B35C8"/>
    <w:rsid w:val="000C3C28"/>
    <w:rsid w:val="000C4BB7"/>
    <w:rsid w:val="000C4CEA"/>
    <w:rsid w:val="000D5077"/>
    <w:rsid w:val="00105CFE"/>
    <w:rsid w:val="00123587"/>
    <w:rsid w:val="00140224"/>
    <w:rsid w:val="00147DF3"/>
    <w:rsid w:val="00153A5A"/>
    <w:rsid w:val="00154133"/>
    <w:rsid w:val="00156056"/>
    <w:rsid w:val="00165AB3"/>
    <w:rsid w:val="00176A44"/>
    <w:rsid w:val="0018500B"/>
    <w:rsid w:val="00192BAB"/>
    <w:rsid w:val="00194A53"/>
    <w:rsid w:val="00196DB2"/>
    <w:rsid w:val="001B6496"/>
    <w:rsid w:val="001D6C0A"/>
    <w:rsid w:val="001F081F"/>
    <w:rsid w:val="001F0991"/>
    <w:rsid w:val="001F4E1D"/>
    <w:rsid w:val="001F5AFC"/>
    <w:rsid w:val="002027BA"/>
    <w:rsid w:val="002077E3"/>
    <w:rsid w:val="00210917"/>
    <w:rsid w:val="00214F19"/>
    <w:rsid w:val="00216719"/>
    <w:rsid w:val="002326A9"/>
    <w:rsid w:val="00236915"/>
    <w:rsid w:val="00246E75"/>
    <w:rsid w:val="00247602"/>
    <w:rsid w:val="00266C69"/>
    <w:rsid w:val="0027477E"/>
    <w:rsid w:val="002844ED"/>
    <w:rsid w:val="00290A09"/>
    <w:rsid w:val="002941FE"/>
    <w:rsid w:val="002947A1"/>
    <w:rsid w:val="002950C6"/>
    <w:rsid w:val="002955CF"/>
    <w:rsid w:val="00297F1A"/>
    <w:rsid w:val="002A37C7"/>
    <w:rsid w:val="002B18A1"/>
    <w:rsid w:val="002C06F1"/>
    <w:rsid w:val="002C3356"/>
    <w:rsid w:val="002C41CF"/>
    <w:rsid w:val="002D18BD"/>
    <w:rsid w:val="002D7D69"/>
    <w:rsid w:val="002E01A6"/>
    <w:rsid w:val="002E714E"/>
    <w:rsid w:val="00315FE6"/>
    <w:rsid w:val="00317A52"/>
    <w:rsid w:val="003264C9"/>
    <w:rsid w:val="00364994"/>
    <w:rsid w:val="0037164A"/>
    <w:rsid w:val="0037584A"/>
    <w:rsid w:val="00380F85"/>
    <w:rsid w:val="003A243A"/>
    <w:rsid w:val="003A2BC6"/>
    <w:rsid w:val="003B626B"/>
    <w:rsid w:val="003C1090"/>
    <w:rsid w:val="003C12A5"/>
    <w:rsid w:val="003C1F9F"/>
    <w:rsid w:val="003E04F3"/>
    <w:rsid w:val="003E3704"/>
    <w:rsid w:val="0041034C"/>
    <w:rsid w:val="0041723D"/>
    <w:rsid w:val="00424405"/>
    <w:rsid w:val="00426147"/>
    <w:rsid w:val="0046045F"/>
    <w:rsid w:val="0047097B"/>
    <w:rsid w:val="00472973"/>
    <w:rsid w:val="00483765"/>
    <w:rsid w:val="004A7C72"/>
    <w:rsid w:val="004B09F5"/>
    <w:rsid w:val="004B2930"/>
    <w:rsid w:val="004C0510"/>
    <w:rsid w:val="004C500D"/>
    <w:rsid w:val="004F048B"/>
    <w:rsid w:val="00510137"/>
    <w:rsid w:val="005232FE"/>
    <w:rsid w:val="00523BAB"/>
    <w:rsid w:val="00526AAC"/>
    <w:rsid w:val="00544DBA"/>
    <w:rsid w:val="00561BED"/>
    <w:rsid w:val="00577B80"/>
    <w:rsid w:val="005A36E5"/>
    <w:rsid w:val="005A6A2B"/>
    <w:rsid w:val="005A6B5F"/>
    <w:rsid w:val="005A72A3"/>
    <w:rsid w:val="005B02B9"/>
    <w:rsid w:val="005C66BF"/>
    <w:rsid w:val="00601355"/>
    <w:rsid w:val="0062280B"/>
    <w:rsid w:val="00626414"/>
    <w:rsid w:val="00633F16"/>
    <w:rsid w:val="0065525A"/>
    <w:rsid w:val="006565BF"/>
    <w:rsid w:val="0066139E"/>
    <w:rsid w:val="006875C8"/>
    <w:rsid w:val="006B453C"/>
    <w:rsid w:val="006B51F2"/>
    <w:rsid w:val="006B6329"/>
    <w:rsid w:val="006E1FB2"/>
    <w:rsid w:val="006F5941"/>
    <w:rsid w:val="006F79E6"/>
    <w:rsid w:val="007059F2"/>
    <w:rsid w:val="00722559"/>
    <w:rsid w:val="00723A22"/>
    <w:rsid w:val="00730601"/>
    <w:rsid w:val="0073335D"/>
    <w:rsid w:val="00737B69"/>
    <w:rsid w:val="007429FA"/>
    <w:rsid w:val="00755900"/>
    <w:rsid w:val="00755B13"/>
    <w:rsid w:val="00757784"/>
    <w:rsid w:val="00770433"/>
    <w:rsid w:val="0077551B"/>
    <w:rsid w:val="0079244F"/>
    <w:rsid w:val="00797BB8"/>
    <w:rsid w:val="007A2C80"/>
    <w:rsid w:val="007A3575"/>
    <w:rsid w:val="007A6DA8"/>
    <w:rsid w:val="007C427E"/>
    <w:rsid w:val="007C54CC"/>
    <w:rsid w:val="007C610F"/>
    <w:rsid w:val="007D1A94"/>
    <w:rsid w:val="007D412B"/>
    <w:rsid w:val="007D75D5"/>
    <w:rsid w:val="007F084F"/>
    <w:rsid w:val="0080300F"/>
    <w:rsid w:val="00822ACE"/>
    <w:rsid w:val="00825550"/>
    <w:rsid w:val="00827CAA"/>
    <w:rsid w:val="008316A8"/>
    <w:rsid w:val="0085615F"/>
    <w:rsid w:val="00856A6D"/>
    <w:rsid w:val="00887750"/>
    <w:rsid w:val="00887820"/>
    <w:rsid w:val="00897210"/>
    <w:rsid w:val="008A00DA"/>
    <w:rsid w:val="008B1CF3"/>
    <w:rsid w:val="008D07F0"/>
    <w:rsid w:val="008D504C"/>
    <w:rsid w:val="008D7AF9"/>
    <w:rsid w:val="008E5B55"/>
    <w:rsid w:val="008F0015"/>
    <w:rsid w:val="00923096"/>
    <w:rsid w:val="009231DD"/>
    <w:rsid w:val="009271E6"/>
    <w:rsid w:val="00930578"/>
    <w:rsid w:val="00935622"/>
    <w:rsid w:val="00937CE6"/>
    <w:rsid w:val="0094359F"/>
    <w:rsid w:val="00946E61"/>
    <w:rsid w:val="00967713"/>
    <w:rsid w:val="0097093F"/>
    <w:rsid w:val="009872C0"/>
    <w:rsid w:val="00987F7B"/>
    <w:rsid w:val="009B021A"/>
    <w:rsid w:val="009B1DD4"/>
    <w:rsid w:val="009B4E75"/>
    <w:rsid w:val="009C0178"/>
    <w:rsid w:val="009C401C"/>
    <w:rsid w:val="009C6590"/>
    <w:rsid w:val="009E2FAD"/>
    <w:rsid w:val="009F623F"/>
    <w:rsid w:val="00A2061F"/>
    <w:rsid w:val="00A24FD4"/>
    <w:rsid w:val="00A26BDE"/>
    <w:rsid w:val="00A4066D"/>
    <w:rsid w:val="00A4345B"/>
    <w:rsid w:val="00A65A32"/>
    <w:rsid w:val="00A7137C"/>
    <w:rsid w:val="00A74BC2"/>
    <w:rsid w:val="00A76ECE"/>
    <w:rsid w:val="00AA2221"/>
    <w:rsid w:val="00AA38A9"/>
    <w:rsid w:val="00AA6A68"/>
    <w:rsid w:val="00AB0088"/>
    <w:rsid w:val="00AB7302"/>
    <w:rsid w:val="00AC269F"/>
    <w:rsid w:val="00AD6EB6"/>
    <w:rsid w:val="00AE0339"/>
    <w:rsid w:val="00AE6AC9"/>
    <w:rsid w:val="00AE78C9"/>
    <w:rsid w:val="00AF34A4"/>
    <w:rsid w:val="00B01AB1"/>
    <w:rsid w:val="00B01C7C"/>
    <w:rsid w:val="00B20381"/>
    <w:rsid w:val="00B21576"/>
    <w:rsid w:val="00B35712"/>
    <w:rsid w:val="00B5214E"/>
    <w:rsid w:val="00B525EE"/>
    <w:rsid w:val="00B53D2F"/>
    <w:rsid w:val="00B54FE4"/>
    <w:rsid w:val="00B64171"/>
    <w:rsid w:val="00B71CC6"/>
    <w:rsid w:val="00B73331"/>
    <w:rsid w:val="00B74574"/>
    <w:rsid w:val="00B75AF7"/>
    <w:rsid w:val="00B75B7A"/>
    <w:rsid w:val="00B75C9F"/>
    <w:rsid w:val="00BA3E51"/>
    <w:rsid w:val="00BB1AF3"/>
    <w:rsid w:val="00C076F3"/>
    <w:rsid w:val="00C11638"/>
    <w:rsid w:val="00C12237"/>
    <w:rsid w:val="00C12D6F"/>
    <w:rsid w:val="00C176F1"/>
    <w:rsid w:val="00C31340"/>
    <w:rsid w:val="00C42494"/>
    <w:rsid w:val="00C4653A"/>
    <w:rsid w:val="00C50394"/>
    <w:rsid w:val="00C556A6"/>
    <w:rsid w:val="00C56D92"/>
    <w:rsid w:val="00C671D3"/>
    <w:rsid w:val="00C77CFF"/>
    <w:rsid w:val="00C873F8"/>
    <w:rsid w:val="00C921A1"/>
    <w:rsid w:val="00C955EE"/>
    <w:rsid w:val="00CA75E2"/>
    <w:rsid w:val="00CC2AD5"/>
    <w:rsid w:val="00CF0F85"/>
    <w:rsid w:val="00CF61C8"/>
    <w:rsid w:val="00D00DF3"/>
    <w:rsid w:val="00D041FD"/>
    <w:rsid w:val="00D14808"/>
    <w:rsid w:val="00D24B8B"/>
    <w:rsid w:val="00D3099D"/>
    <w:rsid w:val="00D40052"/>
    <w:rsid w:val="00D43C3B"/>
    <w:rsid w:val="00D50342"/>
    <w:rsid w:val="00D56D59"/>
    <w:rsid w:val="00D76508"/>
    <w:rsid w:val="00D77D8A"/>
    <w:rsid w:val="00D812AB"/>
    <w:rsid w:val="00D858EA"/>
    <w:rsid w:val="00D95EE3"/>
    <w:rsid w:val="00D9614F"/>
    <w:rsid w:val="00DA408A"/>
    <w:rsid w:val="00DA4FA0"/>
    <w:rsid w:val="00DD153C"/>
    <w:rsid w:val="00DE7387"/>
    <w:rsid w:val="00DF23B3"/>
    <w:rsid w:val="00E029E1"/>
    <w:rsid w:val="00E02F5D"/>
    <w:rsid w:val="00E217AC"/>
    <w:rsid w:val="00E268B2"/>
    <w:rsid w:val="00E33247"/>
    <w:rsid w:val="00E4168C"/>
    <w:rsid w:val="00E620FB"/>
    <w:rsid w:val="00E647E1"/>
    <w:rsid w:val="00E73140"/>
    <w:rsid w:val="00E967A9"/>
    <w:rsid w:val="00EB1DFA"/>
    <w:rsid w:val="00EB2158"/>
    <w:rsid w:val="00EC18AA"/>
    <w:rsid w:val="00EE55B5"/>
    <w:rsid w:val="00EF04D2"/>
    <w:rsid w:val="00EF2519"/>
    <w:rsid w:val="00EF54A3"/>
    <w:rsid w:val="00F0121C"/>
    <w:rsid w:val="00F074B4"/>
    <w:rsid w:val="00F22367"/>
    <w:rsid w:val="00F22984"/>
    <w:rsid w:val="00F37C0D"/>
    <w:rsid w:val="00F501C0"/>
    <w:rsid w:val="00F534D7"/>
    <w:rsid w:val="00F61FA9"/>
    <w:rsid w:val="00F64F6D"/>
    <w:rsid w:val="00F7109C"/>
    <w:rsid w:val="00F746DB"/>
    <w:rsid w:val="00F76DD2"/>
    <w:rsid w:val="00F81108"/>
    <w:rsid w:val="00F8139A"/>
    <w:rsid w:val="00F81E43"/>
    <w:rsid w:val="00F8622F"/>
    <w:rsid w:val="00F943A2"/>
    <w:rsid w:val="00F949B6"/>
    <w:rsid w:val="00FA60A7"/>
    <w:rsid w:val="00FC471A"/>
    <w:rsid w:val="00FF52F5"/>
    <w:rsid w:val="00FF79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37C"/>
    <w:pPr>
      <w:spacing w:after="0" w:line="240" w:lineRule="auto"/>
    </w:pPr>
    <w:rPr>
      <w:rFonts w:ascii="Times New Roman" w:eastAsia="Times New Roman" w:hAnsi="Times New Roman" w:cs="Times New Roman"/>
      <w:sz w:val="24"/>
      <w:szCs w:val="24"/>
      <w:lang w:val="ro-RO" w:eastAsia="ro-RO"/>
    </w:rPr>
  </w:style>
  <w:style w:type="paragraph" w:styleId="Titlu1">
    <w:name w:val="heading 1"/>
    <w:basedOn w:val="Normal"/>
    <w:next w:val="Normal"/>
    <w:link w:val="Titlu1Caracter"/>
    <w:qFormat/>
    <w:rsid w:val="00A7137C"/>
    <w:pPr>
      <w:keepNext/>
      <w:jc w:val="both"/>
      <w:outlineLvl w:val="0"/>
    </w:pPr>
    <w:rPr>
      <w:sz w:val="28"/>
      <w:szCs w:val="20"/>
    </w:rPr>
  </w:style>
  <w:style w:type="paragraph" w:styleId="Titlu2">
    <w:name w:val="heading 2"/>
    <w:basedOn w:val="Normal"/>
    <w:next w:val="Normal"/>
    <w:link w:val="Titlu2Caracter"/>
    <w:qFormat/>
    <w:rsid w:val="00A7137C"/>
    <w:pPr>
      <w:keepNext/>
      <w:spacing w:before="240" w:after="60"/>
      <w:outlineLvl w:val="1"/>
    </w:pPr>
    <w:rPr>
      <w:rFonts w:ascii="Arial" w:hAnsi="Arial" w:cs="Arial"/>
      <w:b/>
      <w:bCs/>
      <w:i/>
      <w:iCs/>
      <w:sz w:val="28"/>
      <w:szCs w:val="28"/>
    </w:rPr>
  </w:style>
  <w:style w:type="paragraph" w:styleId="Titlu3">
    <w:name w:val="heading 3"/>
    <w:basedOn w:val="Normal"/>
    <w:next w:val="Normal"/>
    <w:link w:val="Titlu3Caracter"/>
    <w:qFormat/>
    <w:rsid w:val="00A7137C"/>
    <w:pPr>
      <w:keepNext/>
      <w:spacing w:before="240" w:after="60"/>
      <w:outlineLvl w:val="2"/>
    </w:pPr>
    <w:rPr>
      <w:rFonts w:ascii="Arial" w:hAnsi="Arial" w:cs="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A7137C"/>
    <w:rPr>
      <w:rFonts w:ascii="Times New Roman" w:eastAsia="Times New Roman" w:hAnsi="Times New Roman" w:cs="Times New Roman"/>
      <w:sz w:val="28"/>
      <w:szCs w:val="20"/>
      <w:lang w:val="ro-RO" w:eastAsia="ro-RO"/>
    </w:rPr>
  </w:style>
  <w:style w:type="character" w:customStyle="1" w:styleId="Titlu2Caracter">
    <w:name w:val="Titlu 2 Caracter"/>
    <w:basedOn w:val="Fontdeparagrafimplicit"/>
    <w:link w:val="Titlu2"/>
    <w:rsid w:val="00A7137C"/>
    <w:rPr>
      <w:rFonts w:ascii="Arial" w:eastAsia="Times New Roman" w:hAnsi="Arial" w:cs="Arial"/>
      <w:b/>
      <w:bCs/>
      <w:i/>
      <w:iCs/>
      <w:sz w:val="28"/>
      <w:szCs w:val="28"/>
      <w:lang w:val="ro-RO" w:eastAsia="ro-RO"/>
    </w:rPr>
  </w:style>
  <w:style w:type="character" w:customStyle="1" w:styleId="Titlu3Caracter">
    <w:name w:val="Titlu 3 Caracter"/>
    <w:basedOn w:val="Fontdeparagrafimplicit"/>
    <w:link w:val="Titlu3"/>
    <w:rsid w:val="00A7137C"/>
    <w:rPr>
      <w:rFonts w:ascii="Arial" w:eastAsia="Times New Roman" w:hAnsi="Arial" w:cs="Arial"/>
      <w:b/>
      <w:bCs/>
      <w:sz w:val="26"/>
      <w:szCs w:val="26"/>
      <w:lang w:val="ro-RO" w:eastAsia="ro-RO"/>
    </w:rPr>
  </w:style>
  <w:style w:type="paragraph" w:styleId="Antet">
    <w:name w:val="header"/>
    <w:basedOn w:val="Normal"/>
    <w:link w:val="AntetCaracter"/>
    <w:rsid w:val="00A7137C"/>
    <w:pPr>
      <w:tabs>
        <w:tab w:val="center" w:pos="4536"/>
        <w:tab w:val="right" w:pos="9072"/>
      </w:tabs>
    </w:pPr>
  </w:style>
  <w:style w:type="character" w:customStyle="1" w:styleId="AntetCaracter">
    <w:name w:val="Antet Caracter"/>
    <w:basedOn w:val="Fontdeparagrafimplicit"/>
    <w:link w:val="Antet"/>
    <w:rsid w:val="00A7137C"/>
    <w:rPr>
      <w:rFonts w:ascii="Times New Roman" w:eastAsia="Times New Roman" w:hAnsi="Times New Roman" w:cs="Times New Roman"/>
      <w:sz w:val="24"/>
      <w:szCs w:val="24"/>
      <w:lang w:val="ro-RO" w:eastAsia="ro-RO"/>
    </w:rPr>
  </w:style>
  <w:style w:type="character" w:styleId="Numrdepagin">
    <w:name w:val="page number"/>
    <w:basedOn w:val="Fontdeparagrafimplicit"/>
    <w:rsid w:val="00A7137C"/>
  </w:style>
  <w:style w:type="paragraph" w:styleId="Legend">
    <w:name w:val="caption"/>
    <w:basedOn w:val="Normal"/>
    <w:next w:val="Normal"/>
    <w:qFormat/>
    <w:rsid w:val="00A7137C"/>
    <w:pPr>
      <w:ind w:left="-360"/>
    </w:pPr>
    <w:rPr>
      <w:b/>
      <w:sz w:val="28"/>
      <w:szCs w:val="28"/>
      <w:lang w:eastAsia="en-US"/>
    </w:rPr>
  </w:style>
  <w:style w:type="paragraph" w:styleId="Corptext">
    <w:name w:val="Body Text"/>
    <w:basedOn w:val="Normal"/>
    <w:link w:val="CorptextCaracter"/>
    <w:rsid w:val="00A7137C"/>
    <w:pPr>
      <w:jc w:val="both"/>
    </w:pPr>
    <w:rPr>
      <w:sz w:val="28"/>
      <w:szCs w:val="20"/>
    </w:rPr>
  </w:style>
  <w:style w:type="character" w:customStyle="1" w:styleId="CorptextCaracter">
    <w:name w:val="Corp text Caracter"/>
    <w:basedOn w:val="Fontdeparagrafimplicit"/>
    <w:link w:val="Corptext"/>
    <w:rsid w:val="00A7137C"/>
    <w:rPr>
      <w:rFonts w:ascii="Times New Roman" w:eastAsia="Times New Roman" w:hAnsi="Times New Roman" w:cs="Times New Roman"/>
      <w:sz w:val="28"/>
      <w:szCs w:val="20"/>
      <w:lang w:val="ro-RO" w:eastAsia="ro-RO"/>
    </w:rPr>
  </w:style>
  <w:style w:type="paragraph" w:styleId="Subsol">
    <w:name w:val="footer"/>
    <w:basedOn w:val="Normal"/>
    <w:link w:val="SubsolCaracter"/>
    <w:rsid w:val="00A7137C"/>
    <w:pPr>
      <w:tabs>
        <w:tab w:val="center" w:pos="4536"/>
        <w:tab w:val="right" w:pos="9072"/>
      </w:tabs>
    </w:pPr>
  </w:style>
  <w:style w:type="character" w:customStyle="1" w:styleId="SubsolCaracter">
    <w:name w:val="Subsol Caracter"/>
    <w:basedOn w:val="Fontdeparagrafimplicit"/>
    <w:link w:val="Subsol"/>
    <w:rsid w:val="00A7137C"/>
    <w:rPr>
      <w:rFonts w:ascii="Times New Roman" w:eastAsia="Times New Roman" w:hAnsi="Times New Roman" w:cs="Times New Roman"/>
      <w:sz w:val="24"/>
      <w:szCs w:val="24"/>
      <w:lang w:val="ro-RO" w:eastAsia="ro-RO"/>
    </w:rPr>
  </w:style>
  <w:style w:type="character" w:customStyle="1" w:styleId="label">
    <w:name w:val="label"/>
    <w:rsid w:val="00A7137C"/>
    <w:rPr>
      <w:rFonts w:ascii="Cambria" w:hAnsi="Cambria" w:hint="default"/>
      <w:b w:val="0"/>
      <w:bCs w:val="0"/>
      <w:color w:val="153E6C"/>
      <w:sz w:val="21"/>
      <w:szCs w:val="21"/>
    </w:rPr>
  </w:style>
  <w:style w:type="paragraph" w:styleId="TextnBalon">
    <w:name w:val="Balloon Text"/>
    <w:basedOn w:val="Normal"/>
    <w:link w:val="TextnBalonCaracter"/>
    <w:rsid w:val="00A7137C"/>
    <w:rPr>
      <w:rFonts w:ascii="Tahoma" w:hAnsi="Tahoma" w:cs="Tahoma"/>
      <w:sz w:val="16"/>
      <w:szCs w:val="16"/>
    </w:rPr>
  </w:style>
  <w:style w:type="character" w:customStyle="1" w:styleId="TextnBalonCaracter">
    <w:name w:val="Text în Balon Caracter"/>
    <w:basedOn w:val="Fontdeparagrafimplicit"/>
    <w:link w:val="TextnBalon"/>
    <w:rsid w:val="00A7137C"/>
    <w:rPr>
      <w:rFonts w:ascii="Tahoma" w:eastAsia="Times New Roman" w:hAnsi="Tahoma" w:cs="Tahoma"/>
      <w:sz w:val="16"/>
      <w:szCs w:val="16"/>
      <w:lang w:val="ro-RO" w:eastAsia="ro-RO"/>
    </w:rPr>
  </w:style>
  <w:style w:type="table" w:styleId="GrilTabel">
    <w:name w:val="Table Grid"/>
    <w:basedOn w:val="TabelNormal"/>
    <w:rsid w:val="00A7137C"/>
    <w:pPr>
      <w:spacing w:after="0" w:line="240" w:lineRule="auto"/>
    </w:pPr>
    <w:rPr>
      <w:rFonts w:ascii="Times New Roman" w:eastAsia="Times New Roman" w:hAnsi="Times New Roman"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A7137C"/>
    <w:pPr>
      <w:spacing w:before="100" w:beforeAutospacing="1" w:after="100" w:afterAutospacing="1"/>
    </w:pPr>
  </w:style>
  <w:style w:type="character" w:customStyle="1" w:styleId="rvts2">
    <w:name w:val="rvts2"/>
    <w:basedOn w:val="Fontdeparagrafimplicit"/>
    <w:rsid w:val="00A7137C"/>
  </w:style>
  <w:style w:type="character" w:customStyle="1" w:styleId="rvts3">
    <w:name w:val="rvts3"/>
    <w:basedOn w:val="Fontdeparagrafimplicit"/>
    <w:rsid w:val="00A7137C"/>
  </w:style>
  <w:style w:type="character" w:styleId="Accentuat">
    <w:name w:val="Emphasis"/>
    <w:qFormat/>
    <w:rsid w:val="00A7137C"/>
    <w:rPr>
      <w:i/>
      <w:iCs/>
    </w:rPr>
  </w:style>
  <w:style w:type="character" w:customStyle="1" w:styleId="apple-converted-space">
    <w:name w:val="apple-converted-space"/>
    <w:basedOn w:val="Fontdeparagrafimplicit"/>
    <w:rsid w:val="00A7137C"/>
  </w:style>
  <w:style w:type="paragraph" w:styleId="Textnotdesubsol">
    <w:name w:val="footnote text"/>
    <w:basedOn w:val="Normal"/>
    <w:link w:val="TextnotdesubsolCaracter"/>
    <w:semiHidden/>
    <w:rsid w:val="00A7137C"/>
    <w:rPr>
      <w:sz w:val="20"/>
      <w:szCs w:val="20"/>
    </w:rPr>
  </w:style>
  <w:style w:type="character" w:customStyle="1" w:styleId="TextnotdesubsolCaracter">
    <w:name w:val="Text notă de subsol Caracter"/>
    <w:basedOn w:val="Fontdeparagrafimplicit"/>
    <w:link w:val="Textnotdesubsol"/>
    <w:semiHidden/>
    <w:rsid w:val="00A7137C"/>
    <w:rPr>
      <w:rFonts w:ascii="Times New Roman" w:eastAsia="Times New Roman" w:hAnsi="Times New Roman" w:cs="Times New Roman"/>
      <w:sz w:val="20"/>
      <w:szCs w:val="20"/>
      <w:lang w:val="ro-RO" w:eastAsia="ro-RO"/>
    </w:rPr>
  </w:style>
  <w:style w:type="character" w:styleId="Referinnotdesubsol">
    <w:name w:val="footnote reference"/>
    <w:semiHidden/>
    <w:rsid w:val="00A7137C"/>
    <w:rPr>
      <w:vertAlign w:val="superscript"/>
    </w:rPr>
  </w:style>
  <w:style w:type="paragraph" w:styleId="Listparagraf">
    <w:name w:val="List Paragraph"/>
    <w:basedOn w:val="Normal"/>
    <w:uiPriority w:val="34"/>
    <w:qFormat/>
    <w:rsid w:val="00AE6AC9"/>
    <w:pPr>
      <w:ind w:left="720"/>
      <w:contextualSpacing/>
    </w:pPr>
  </w:style>
  <w:style w:type="paragraph" w:styleId="Textnotdefinal">
    <w:name w:val="endnote text"/>
    <w:basedOn w:val="Normal"/>
    <w:link w:val="TextnotdefinalCaracter"/>
    <w:uiPriority w:val="99"/>
    <w:semiHidden/>
    <w:unhideWhenUsed/>
    <w:rsid w:val="005A36E5"/>
    <w:rPr>
      <w:sz w:val="20"/>
      <w:szCs w:val="20"/>
    </w:rPr>
  </w:style>
  <w:style w:type="character" w:customStyle="1" w:styleId="TextnotdefinalCaracter">
    <w:name w:val="Text notă de final Caracter"/>
    <w:basedOn w:val="Fontdeparagrafimplicit"/>
    <w:link w:val="Textnotdefinal"/>
    <w:uiPriority w:val="99"/>
    <w:semiHidden/>
    <w:rsid w:val="005A36E5"/>
    <w:rPr>
      <w:rFonts w:ascii="Times New Roman" w:eastAsia="Times New Roman" w:hAnsi="Times New Roman" w:cs="Times New Roman"/>
      <w:sz w:val="20"/>
      <w:szCs w:val="20"/>
      <w:lang w:val="ro-RO" w:eastAsia="ro-RO"/>
    </w:rPr>
  </w:style>
  <w:style w:type="character" w:styleId="Referinnotdefinal">
    <w:name w:val="endnote reference"/>
    <w:basedOn w:val="Fontdeparagrafimplicit"/>
    <w:uiPriority w:val="99"/>
    <w:semiHidden/>
    <w:unhideWhenUsed/>
    <w:rsid w:val="005A36E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37C"/>
    <w:pPr>
      <w:spacing w:after="0" w:line="240" w:lineRule="auto"/>
    </w:pPr>
    <w:rPr>
      <w:rFonts w:ascii="Times New Roman" w:eastAsia="Times New Roman" w:hAnsi="Times New Roman" w:cs="Times New Roman"/>
      <w:sz w:val="24"/>
      <w:szCs w:val="24"/>
      <w:lang w:val="ro-RO" w:eastAsia="ro-RO"/>
    </w:rPr>
  </w:style>
  <w:style w:type="paragraph" w:styleId="Titlu1">
    <w:name w:val="heading 1"/>
    <w:basedOn w:val="Normal"/>
    <w:next w:val="Normal"/>
    <w:link w:val="Titlu1Caracter"/>
    <w:qFormat/>
    <w:rsid w:val="00A7137C"/>
    <w:pPr>
      <w:keepNext/>
      <w:jc w:val="both"/>
      <w:outlineLvl w:val="0"/>
    </w:pPr>
    <w:rPr>
      <w:sz w:val="28"/>
      <w:szCs w:val="20"/>
    </w:rPr>
  </w:style>
  <w:style w:type="paragraph" w:styleId="Titlu2">
    <w:name w:val="heading 2"/>
    <w:basedOn w:val="Normal"/>
    <w:next w:val="Normal"/>
    <w:link w:val="Titlu2Caracter"/>
    <w:qFormat/>
    <w:rsid w:val="00A7137C"/>
    <w:pPr>
      <w:keepNext/>
      <w:spacing w:before="240" w:after="60"/>
      <w:outlineLvl w:val="1"/>
    </w:pPr>
    <w:rPr>
      <w:rFonts w:ascii="Arial" w:hAnsi="Arial" w:cs="Arial"/>
      <w:b/>
      <w:bCs/>
      <w:i/>
      <w:iCs/>
      <w:sz w:val="28"/>
      <w:szCs w:val="28"/>
    </w:rPr>
  </w:style>
  <w:style w:type="paragraph" w:styleId="Titlu3">
    <w:name w:val="heading 3"/>
    <w:basedOn w:val="Normal"/>
    <w:next w:val="Normal"/>
    <w:link w:val="Titlu3Caracter"/>
    <w:qFormat/>
    <w:rsid w:val="00A7137C"/>
    <w:pPr>
      <w:keepNext/>
      <w:spacing w:before="240" w:after="60"/>
      <w:outlineLvl w:val="2"/>
    </w:pPr>
    <w:rPr>
      <w:rFonts w:ascii="Arial" w:hAnsi="Arial" w:cs="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A7137C"/>
    <w:rPr>
      <w:rFonts w:ascii="Times New Roman" w:eastAsia="Times New Roman" w:hAnsi="Times New Roman" w:cs="Times New Roman"/>
      <w:sz w:val="28"/>
      <w:szCs w:val="20"/>
      <w:lang w:val="ro-RO" w:eastAsia="ro-RO"/>
    </w:rPr>
  </w:style>
  <w:style w:type="character" w:customStyle="1" w:styleId="Titlu2Caracter">
    <w:name w:val="Titlu 2 Caracter"/>
    <w:basedOn w:val="Fontdeparagrafimplicit"/>
    <w:link w:val="Titlu2"/>
    <w:rsid w:val="00A7137C"/>
    <w:rPr>
      <w:rFonts w:ascii="Arial" w:eastAsia="Times New Roman" w:hAnsi="Arial" w:cs="Arial"/>
      <w:b/>
      <w:bCs/>
      <w:i/>
      <w:iCs/>
      <w:sz w:val="28"/>
      <w:szCs w:val="28"/>
      <w:lang w:val="ro-RO" w:eastAsia="ro-RO"/>
    </w:rPr>
  </w:style>
  <w:style w:type="character" w:customStyle="1" w:styleId="Titlu3Caracter">
    <w:name w:val="Titlu 3 Caracter"/>
    <w:basedOn w:val="Fontdeparagrafimplicit"/>
    <w:link w:val="Titlu3"/>
    <w:rsid w:val="00A7137C"/>
    <w:rPr>
      <w:rFonts w:ascii="Arial" w:eastAsia="Times New Roman" w:hAnsi="Arial" w:cs="Arial"/>
      <w:b/>
      <w:bCs/>
      <w:sz w:val="26"/>
      <w:szCs w:val="26"/>
      <w:lang w:val="ro-RO" w:eastAsia="ro-RO"/>
    </w:rPr>
  </w:style>
  <w:style w:type="paragraph" w:styleId="Antet">
    <w:name w:val="header"/>
    <w:basedOn w:val="Normal"/>
    <w:link w:val="AntetCaracter"/>
    <w:rsid w:val="00A7137C"/>
    <w:pPr>
      <w:tabs>
        <w:tab w:val="center" w:pos="4536"/>
        <w:tab w:val="right" w:pos="9072"/>
      </w:tabs>
    </w:pPr>
  </w:style>
  <w:style w:type="character" w:customStyle="1" w:styleId="AntetCaracter">
    <w:name w:val="Antet Caracter"/>
    <w:basedOn w:val="Fontdeparagrafimplicit"/>
    <w:link w:val="Antet"/>
    <w:rsid w:val="00A7137C"/>
    <w:rPr>
      <w:rFonts w:ascii="Times New Roman" w:eastAsia="Times New Roman" w:hAnsi="Times New Roman" w:cs="Times New Roman"/>
      <w:sz w:val="24"/>
      <w:szCs w:val="24"/>
      <w:lang w:val="ro-RO" w:eastAsia="ro-RO"/>
    </w:rPr>
  </w:style>
  <w:style w:type="character" w:styleId="Numrdepagin">
    <w:name w:val="page number"/>
    <w:basedOn w:val="Fontdeparagrafimplicit"/>
    <w:rsid w:val="00A7137C"/>
  </w:style>
  <w:style w:type="paragraph" w:styleId="Legend">
    <w:name w:val="caption"/>
    <w:basedOn w:val="Normal"/>
    <w:next w:val="Normal"/>
    <w:qFormat/>
    <w:rsid w:val="00A7137C"/>
    <w:pPr>
      <w:ind w:left="-360"/>
    </w:pPr>
    <w:rPr>
      <w:b/>
      <w:sz w:val="28"/>
      <w:szCs w:val="28"/>
      <w:lang w:eastAsia="en-US"/>
    </w:rPr>
  </w:style>
  <w:style w:type="paragraph" w:styleId="Corptext">
    <w:name w:val="Body Text"/>
    <w:basedOn w:val="Normal"/>
    <w:link w:val="CorptextCaracter"/>
    <w:rsid w:val="00A7137C"/>
    <w:pPr>
      <w:jc w:val="both"/>
    </w:pPr>
    <w:rPr>
      <w:sz w:val="28"/>
      <w:szCs w:val="20"/>
    </w:rPr>
  </w:style>
  <w:style w:type="character" w:customStyle="1" w:styleId="CorptextCaracter">
    <w:name w:val="Corp text Caracter"/>
    <w:basedOn w:val="Fontdeparagrafimplicit"/>
    <w:link w:val="Corptext"/>
    <w:rsid w:val="00A7137C"/>
    <w:rPr>
      <w:rFonts w:ascii="Times New Roman" w:eastAsia="Times New Roman" w:hAnsi="Times New Roman" w:cs="Times New Roman"/>
      <w:sz w:val="28"/>
      <w:szCs w:val="20"/>
      <w:lang w:val="ro-RO" w:eastAsia="ro-RO"/>
    </w:rPr>
  </w:style>
  <w:style w:type="paragraph" w:styleId="Subsol">
    <w:name w:val="footer"/>
    <w:basedOn w:val="Normal"/>
    <w:link w:val="SubsolCaracter"/>
    <w:rsid w:val="00A7137C"/>
    <w:pPr>
      <w:tabs>
        <w:tab w:val="center" w:pos="4536"/>
        <w:tab w:val="right" w:pos="9072"/>
      </w:tabs>
    </w:pPr>
  </w:style>
  <w:style w:type="character" w:customStyle="1" w:styleId="SubsolCaracter">
    <w:name w:val="Subsol Caracter"/>
    <w:basedOn w:val="Fontdeparagrafimplicit"/>
    <w:link w:val="Subsol"/>
    <w:rsid w:val="00A7137C"/>
    <w:rPr>
      <w:rFonts w:ascii="Times New Roman" w:eastAsia="Times New Roman" w:hAnsi="Times New Roman" w:cs="Times New Roman"/>
      <w:sz w:val="24"/>
      <w:szCs w:val="24"/>
      <w:lang w:val="ro-RO" w:eastAsia="ro-RO"/>
    </w:rPr>
  </w:style>
  <w:style w:type="character" w:customStyle="1" w:styleId="label">
    <w:name w:val="label"/>
    <w:rsid w:val="00A7137C"/>
    <w:rPr>
      <w:rFonts w:ascii="Cambria" w:hAnsi="Cambria" w:hint="default"/>
      <w:b w:val="0"/>
      <w:bCs w:val="0"/>
      <w:color w:val="153E6C"/>
      <w:sz w:val="21"/>
      <w:szCs w:val="21"/>
    </w:rPr>
  </w:style>
  <w:style w:type="paragraph" w:styleId="TextnBalon">
    <w:name w:val="Balloon Text"/>
    <w:basedOn w:val="Normal"/>
    <w:link w:val="TextnBalonCaracter"/>
    <w:rsid w:val="00A7137C"/>
    <w:rPr>
      <w:rFonts w:ascii="Tahoma" w:hAnsi="Tahoma" w:cs="Tahoma"/>
      <w:sz w:val="16"/>
      <w:szCs w:val="16"/>
    </w:rPr>
  </w:style>
  <w:style w:type="character" w:customStyle="1" w:styleId="TextnBalonCaracter">
    <w:name w:val="Text în Balon Caracter"/>
    <w:basedOn w:val="Fontdeparagrafimplicit"/>
    <w:link w:val="TextnBalon"/>
    <w:rsid w:val="00A7137C"/>
    <w:rPr>
      <w:rFonts w:ascii="Tahoma" w:eastAsia="Times New Roman" w:hAnsi="Tahoma" w:cs="Tahoma"/>
      <w:sz w:val="16"/>
      <w:szCs w:val="16"/>
      <w:lang w:val="ro-RO" w:eastAsia="ro-RO"/>
    </w:rPr>
  </w:style>
  <w:style w:type="table" w:styleId="GrilTabel">
    <w:name w:val="Table Grid"/>
    <w:basedOn w:val="TabelNormal"/>
    <w:rsid w:val="00A7137C"/>
    <w:pPr>
      <w:spacing w:after="0" w:line="240" w:lineRule="auto"/>
    </w:pPr>
    <w:rPr>
      <w:rFonts w:ascii="Times New Roman" w:eastAsia="Times New Roman" w:hAnsi="Times New Roman"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A7137C"/>
    <w:pPr>
      <w:spacing w:before="100" w:beforeAutospacing="1" w:after="100" w:afterAutospacing="1"/>
    </w:pPr>
  </w:style>
  <w:style w:type="character" w:customStyle="1" w:styleId="rvts2">
    <w:name w:val="rvts2"/>
    <w:basedOn w:val="Fontdeparagrafimplicit"/>
    <w:rsid w:val="00A7137C"/>
  </w:style>
  <w:style w:type="character" w:customStyle="1" w:styleId="rvts3">
    <w:name w:val="rvts3"/>
    <w:basedOn w:val="Fontdeparagrafimplicit"/>
    <w:rsid w:val="00A7137C"/>
  </w:style>
  <w:style w:type="character" w:styleId="Accentuat">
    <w:name w:val="Emphasis"/>
    <w:qFormat/>
    <w:rsid w:val="00A7137C"/>
    <w:rPr>
      <w:i/>
      <w:iCs/>
    </w:rPr>
  </w:style>
  <w:style w:type="character" w:customStyle="1" w:styleId="apple-converted-space">
    <w:name w:val="apple-converted-space"/>
    <w:basedOn w:val="Fontdeparagrafimplicit"/>
    <w:rsid w:val="00A7137C"/>
  </w:style>
  <w:style w:type="paragraph" w:styleId="Textnotdesubsol">
    <w:name w:val="footnote text"/>
    <w:basedOn w:val="Normal"/>
    <w:link w:val="TextnotdesubsolCaracter"/>
    <w:semiHidden/>
    <w:rsid w:val="00A7137C"/>
    <w:rPr>
      <w:sz w:val="20"/>
      <w:szCs w:val="20"/>
    </w:rPr>
  </w:style>
  <w:style w:type="character" w:customStyle="1" w:styleId="TextnotdesubsolCaracter">
    <w:name w:val="Text notă de subsol Caracter"/>
    <w:basedOn w:val="Fontdeparagrafimplicit"/>
    <w:link w:val="Textnotdesubsol"/>
    <w:semiHidden/>
    <w:rsid w:val="00A7137C"/>
    <w:rPr>
      <w:rFonts w:ascii="Times New Roman" w:eastAsia="Times New Roman" w:hAnsi="Times New Roman" w:cs="Times New Roman"/>
      <w:sz w:val="20"/>
      <w:szCs w:val="20"/>
      <w:lang w:val="ro-RO" w:eastAsia="ro-RO"/>
    </w:rPr>
  </w:style>
  <w:style w:type="character" w:styleId="Referinnotdesubsol">
    <w:name w:val="footnote reference"/>
    <w:semiHidden/>
    <w:rsid w:val="00A7137C"/>
    <w:rPr>
      <w:vertAlign w:val="superscript"/>
    </w:rPr>
  </w:style>
  <w:style w:type="paragraph" w:styleId="Listparagraf">
    <w:name w:val="List Paragraph"/>
    <w:basedOn w:val="Normal"/>
    <w:uiPriority w:val="34"/>
    <w:qFormat/>
    <w:rsid w:val="00AE6AC9"/>
    <w:pPr>
      <w:ind w:left="720"/>
      <w:contextualSpacing/>
    </w:pPr>
  </w:style>
  <w:style w:type="paragraph" w:styleId="Textnotdefinal">
    <w:name w:val="endnote text"/>
    <w:basedOn w:val="Normal"/>
    <w:link w:val="TextnotdefinalCaracter"/>
    <w:uiPriority w:val="99"/>
    <w:semiHidden/>
    <w:unhideWhenUsed/>
    <w:rsid w:val="005A36E5"/>
    <w:rPr>
      <w:sz w:val="20"/>
      <w:szCs w:val="20"/>
    </w:rPr>
  </w:style>
  <w:style w:type="character" w:customStyle="1" w:styleId="TextnotdefinalCaracter">
    <w:name w:val="Text notă de final Caracter"/>
    <w:basedOn w:val="Fontdeparagrafimplicit"/>
    <w:link w:val="Textnotdefinal"/>
    <w:uiPriority w:val="99"/>
    <w:semiHidden/>
    <w:rsid w:val="005A36E5"/>
    <w:rPr>
      <w:rFonts w:ascii="Times New Roman" w:eastAsia="Times New Roman" w:hAnsi="Times New Roman" w:cs="Times New Roman"/>
      <w:sz w:val="20"/>
      <w:szCs w:val="20"/>
      <w:lang w:val="ro-RO" w:eastAsia="ro-RO"/>
    </w:rPr>
  </w:style>
  <w:style w:type="character" w:styleId="Referinnotdefinal">
    <w:name w:val="endnote reference"/>
    <w:basedOn w:val="Fontdeparagrafimplicit"/>
    <w:uiPriority w:val="99"/>
    <w:semiHidden/>
    <w:unhideWhenUsed/>
    <w:rsid w:val="005A36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F98D68-F75A-446E-AE6D-6FD6ABA27160}"/>
</file>

<file path=customXml/itemProps2.xml><?xml version="1.0" encoding="utf-8"?>
<ds:datastoreItem xmlns:ds="http://schemas.openxmlformats.org/officeDocument/2006/customXml" ds:itemID="{6F0AD6D0-12D8-43D5-B9AC-FFFECAA30486}"/>
</file>

<file path=customXml/itemProps3.xml><?xml version="1.0" encoding="utf-8"?>
<ds:datastoreItem xmlns:ds="http://schemas.openxmlformats.org/officeDocument/2006/customXml" ds:itemID="{ADECC95E-2B3F-4169-BE63-29125CE3556C}"/>
</file>

<file path=customXml/itemProps4.xml><?xml version="1.0" encoding="utf-8"?>
<ds:datastoreItem xmlns:ds="http://schemas.openxmlformats.org/officeDocument/2006/customXml" ds:itemID="{7EB26CA9-AEEB-4086-BD8C-3008E5581F9B}"/>
</file>

<file path=customXml/itemProps5.xml><?xml version="1.0" encoding="utf-8"?>
<ds:datastoreItem xmlns:ds="http://schemas.openxmlformats.org/officeDocument/2006/customXml" ds:itemID="{2435464A-D34A-465A-BADC-B1E147376992}"/>
</file>

<file path=docProps/app.xml><?xml version="1.0" encoding="utf-8"?>
<Properties xmlns="http://schemas.openxmlformats.org/officeDocument/2006/extended-properties" xmlns:vt="http://schemas.openxmlformats.org/officeDocument/2006/docPropsVTypes">
  <Template>Normal</Template>
  <TotalTime>162</TotalTime>
  <Pages>22</Pages>
  <Words>7898</Words>
  <Characters>45809</Characters>
  <Application>Microsoft Office Word</Application>
  <DocSecurity>0</DocSecurity>
  <Lines>381</Lines>
  <Paragraphs>107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Corneliu Adrian Stana</dc:creator>
  <cp:lastModifiedBy>User Ecris</cp:lastModifiedBy>
  <cp:revision>4</cp:revision>
  <cp:lastPrinted>2021-01-14T08:14:00Z</cp:lastPrinted>
  <dcterms:created xsi:type="dcterms:W3CDTF">2021-01-13T12:14:00Z</dcterms:created>
  <dcterms:modified xsi:type="dcterms:W3CDTF">2021-01-14T08:14:00Z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